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2"/>
          <w:sz w:val="48"/>
          <w:szCs w:val="48"/>
          <w:highlight w:val="none"/>
          <w:lang w:val="en-US" w:eastAsia="zh-CN" w:bidi="ar-SA"/>
        </w:rPr>
      </w:pPr>
    </w:p>
    <w:p>
      <w:pPr>
        <w:pStyle w:val="8"/>
        <w:jc w:val="center"/>
        <w:rPr>
          <w:rFonts w:hint="eastAsia" w:ascii="宋体" w:hAnsi="宋体" w:cs="宋体"/>
          <w:b/>
          <w:bCs/>
          <w:color w:val="auto"/>
          <w:kern w:val="2"/>
          <w:sz w:val="48"/>
          <w:szCs w:val="48"/>
          <w:highlight w:val="none"/>
          <w:lang w:val="en-US" w:eastAsia="zh-CN" w:bidi="ar-SA"/>
        </w:rPr>
      </w:pPr>
      <w:bookmarkStart w:id="148" w:name="_GoBack"/>
      <w:r>
        <w:rPr>
          <w:rFonts w:hint="eastAsia" w:ascii="宋体" w:hAnsi="宋体" w:cs="宋体"/>
          <w:b/>
          <w:bCs/>
          <w:color w:val="auto"/>
          <w:kern w:val="2"/>
          <w:sz w:val="48"/>
          <w:szCs w:val="48"/>
          <w:highlight w:val="none"/>
          <w:lang w:val="en-US" w:eastAsia="zh-CN" w:bidi="ar-SA"/>
        </w:rPr>
        <w:t>乐山市工人文化宫异地重建项目</w:t>
      </w:r>
    </w:p>
    <w:p>
      <w:pPr>
        <w:pStyle w:val="8"/>
        <w:jc w:val="center"/>
        <w:rPr>
          <w:color w:val="auto"/>
          <w:highlight w:val="none"/>
        </w:rPr>
      </w:pPr>
      <w:r>
        <w:rPr>
          <w:rFonts w:hint="eastAsia" w:ascii="宋体" w:hAnsi="宋体" w:cs="宋体"/>
          <w:b/>
          <w:bCs/>
          <w:color w:val="auto"/>
          <w:kern w:val="2"/>
          <w:sz w:val="48"/>
          <w:szCs w:val="48"/>
          <w:highlight w:val="none"/>
          <w:lang w:val="en-US" w:eastAsia="zh-CN" w:bidi="ar-SA"/>
        </w:rPr>
        <w:t>概念性方案设计</w:t>
      </w:r>
    </w:p>
    <w:bookmarkEnd w:id="148"/>
    <w:p>
      <w:pPr>
        <w:rPr>
          <w:color w:val="auto"/>
          <w:highlight w:val="none"/>
        </w:rPr>
      </w:pPr>
    </w:p>
    <w:p>
      <w:pPr>
        <w:rPr>
          <w:color w:val="auto"/>
          <w:highlight w:val="none"/>
        </w:rPr>
      </w:pPr>
    </w:p>
    <w:p>
      <w:pPr>
        <w:pStyle w:val="8"/>
        <w:rPr>
          <w:color w:val="auto"/>
          <w:highlight w:val="none"/>
        </w:rPr>
      </w:pPr>
    </w:p>
    <w:p>
      <w:pPr>
        <w:pStyle w:val="8"/>
        <w:rPr>
          <w:color w:val="auto"/>
          <w:highlight w:val="none"/>
        </w:rPr>
      </w:pPr>
    </w:p>
    <w:p>
      <w:pPr>
        <w:rPr>
          <w:color w:val="auto"/>
          <w:highlight w:val="none"/>
        </w:rPr>
      </w:pPr>
    </w:p>
    <w:p>
      <w:pPr>
        <w:rPr>
          <w:color w:val="auto"/>
          <w:highlight w:val="none"/>
        </w:rPr>
      </w:pPr>
    </w:p>
    <w:p>
      <w:pPr>
        <w:pStyle w:val="8"/>
        <w:rPr>
          <w:color w:val="auto"/>
          <w:highlight w:val="none"/>
        </w:rPr>
      </w:pPr>
    </w:p>
    <w:p>
      <w:pPr>
        <w:jc w:val="center"/>
        <w:rPr>
          <w:rFonts w:ascii="宋体"/>
          <w:b/>
          <w:bCs/>
          <w:color w:val="auto"/>
          <w:sz w:val="96"/>
          <w:szCs w:val="96"/>
          <w:highlight w:val="none"/>
        </w:rPr>
      </w:pPr>
      <w:r>
        <w:rPr>
          <w:rFonts w:hint="eastAsia" w:ascii="宋体" w:hAnsi="宋体" w:cs="宋体"/>
          <w:b/>
          <w:bCs/>
          <w:color w:val="auto"/>
          <w:sz w:val="96"/>
          <w:szCs w:val="96"/>
          <w:highlight w:val="none"/>
        </w:rPr>
        <w:t>竞争性磋商文件</w:t>
      </w:r>
    </w:p>
    <w:p>
      <w:pPr>
        <w:pStyle w:val="8"/>
        <w:rPr>
          <w:rFonts w:hint="default"/>
          <w:color w:val="auto"/>
          <w:highlight w:val="none"/>
          <w:lang w:val="en-US" w:eastAsia="zh-CN"/>
        </w:rPr>
      </w:pPr>
    </w:p>
    <w:p>
      <w:pPr>
        <w:rPr>
          <w:rFonts w:hint="default"/>
          <w:color w:val="auto"/>
          <w:highlight w:val="none"/>
          <w:lang w:val="en-US" w:eastAsia="zh-CN"/>
        </w:rPr>
      </w:pPr>
    </w:p>
    <w:p>
      <w:pPr>
        <w:pStyle w:val="8"/>
        <w:rPr>
          <w:rFonts w:hint="default"/>
          <w:color w:val="auto"/>
          <w:highlight w:val="none"/>
          <w:lang w:val="en-US" w:eastAsia="zh-CN"/>
        </w:rPr>
      </w:pPr>
    </w:p>
    <w:p>
      <w:pPr>
        <w:pStyle w:val="8"/>
        <w:rPr>
          <w:color w:val="auto"/>
          <w:highlight w:val="none"/>
        </w:rPr>
      </w:pP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SCMP250101号</w:t>
      </w:r>
    </w:p>
    <w:p>
      <w:pPr>
        <w:ind w:firstLine="2108" w:firstLineChars="700"/>
        <w:jc w:val="center"/>
        <w:rPr>
          <w:rFonts w:hint="eastAsia" w:ascii="宋体" w:hAnsi="宋体" w:cs="宋体"/>
          <w:b/>
          <w:bCs/>
          <w:color w:val="auto"/>
          <w:sz w:val="30"/>
          <w:szCs w:val="30"/>
          <w:highlight w:val="none"/>
        </w:rPr>
      </w:pPr>
    </w:p>
    <w:p>
      <w:pPr>
        <w:jc w:val="center"/>
        <w:rPr>
          <w:rFonts w:hint="eastAsia"/>
          <w:color w:val="auto"/>
          <w:sz w:val="30"/>
          <w:szCs w:val="30"/>
          <w:highlight w:val="none"/>
        </w:rPr>
      </w:pPr>
    </w:p>
    <w:p>
      <w:pPr>
        <w:jc w:val="center"/>
        <w:rPr>
          <w:rFonts w:hint="eastAsia"/>
          <w:color w:val="auto"/>
          <w:sz w:val="30"/>
          <w:szCs w:val="30"/>
          <w:highlight w:val="none"/>
        </w:rPr>
      </w:pPr>
    </w:p>
    <w:p>
      <w:pPr>
        <w:jc w:val="center"/>
        <w:rPr>
          <w:rFonts w:hint="eastAsia"/>
          <w:color w:val="auto"/>
          <w:sz w:val="30"/>
          <w:szCs w:val="30"/>
          <w:highlight w:val="none"/>
        </w:rPr>
      </w:pPr>
    </w:p>
    <w:p>
      <w:pPr>
        <w:jc w:val="center"/>
        <w:rPr>
          <w:rFonts w:hint="eastAsia"/>
          <w:color w:val="auto"/>
          <w:sz w:val="30"/>
          <w:szCs w:val="30"/>
          <w:highlight w:val="none"/>
        </w:rPr>
      </w:pPr>
    </w:p>
    <w:p>
      <w:pPr>
        <w:jc w:val="center"/>
        <w:rPr>
          <w:rFonts w:hint="eastAsia"/>
          <w:color w:val="auto"/>
          <w:sz w:val="30"/>
          <w:szCs w:val="30"/>
          <w:highlight w:val="none"/>
        </w:rPr>
      </w:pPr>
    </w:p>
    <w:p>
      <w:pPr>
        <w:jc w:val="center"/>
        <w:rPr>
          <w:rFonts w:hint="eastAsia"/>
          <w:color w:val="auto"/>
          <w:sz w:val="30"/>
          <w:szCs w:val="30"/>
          <w:highlight w:val="none"/>
        </w:rPr>
      </w:pPr>
    </w:p>
    <w:p>
      <w:pPr>
        <w:pStyle w:val="8"/>
        <w:jc w:val="center"/>
        <w:rPr>
          <w:color w:val="auto"/>
          <w:sz w:val="30"/>
          <w:szCs w:val="30"/>
          <w:highlight w:val="none"/>
        </w:rPr>
      </w:pPr>
    </w:p>
    <w:p>
      <w:pPr>
        <w:pStyle w:val="8"/>
        <w:jc w:val="center"/>
        <w:rPr>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b/>
          <w:bCs/>
          <w:color w:val="auto"/>
          <w:sz w:val="30"/>
          <w:szCs w:val="30"/>
          <w:highlight w:val="none"/>
          <w:lang w:val="en-US"/>
        </w:rPr>
      </w:pPr>
      <w:r>
        <w:rPr>
          <w:rFonts w:hint="eastAsia" w:ascii="宋体" w:hAnsi="宋体" w:cs="宋体"/>
          <w:b/>
          <w:bCs/>
          <w:color w:val="auto"/>
          <w:sz w:val="30"/>
          <w:szCs w:val="30"/>
          <w:highlight w:val="none"/>
        </w:rPr>
        <w:t>采购单位：</w:t>
      </w:r>
      <w:r>
        <w:rPr>
          <w:rFonts w:hint="eastAsia" w:ascii="宋体" w:hAnsi="宋体" w:cs="宋体"/>
          <w:b/>
          <w:bCs/>
          <w:color w:val="auto"/>
          <w:sz w:val="30"/>
          <w:szCs w:val="30"/>
          <w:highlight w:val="none"/>
          <w:lang w:val="en-US" w:eastAsia="zh-CN"/>
        </w:rPr>
        <w:t>乐山市总工会</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代理机构：</w:t>
      </w:r>
      <w:r>
        <w:rPr>
          <w:rFonts w:hint="eastAsia" w:ascii="宋体" w:hAnsi="宋体" w:cs="宋体"/>
          <w:b/>
          <w:bCs/>
          <w:color w:val="auto"/>
          <w:sz w:val="30"/>
          <w:szCs w:val="30"/>
          <w:highlight w:val="none"/>
          <w:lang w:eastAsia="zh-CN"/>
        </w:rPr>
        <w:t>四川茂沛工程项目管理有限公司</w:t>
      </w:r>
    </w:p>
    <w:p>
      <w:pPr>
        <w:pStyle w:val="8"/>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共同编制</w:t>
      </w:r>
    </w:p>
    <w:p>
      <w:pPr>
        <w:pStyle w:val="8"/>
        <w:jc w:val="center"/>
        <w:rPr>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color w:val="auto"/>
          <w:sz w:val="44"/>
          <w:szCs w:val="44"/>
          <w:highlight w:val="none"/>
        </w:rPr>
      </w:pPr>
      <w:r>
        <w:rPr>
          <w:rFonts w:hint="eastAsia" w:ascii="宋体"/>
          <w:b/>
          <w:color w:val="auto"/>
          <w:sz w:val="30"/>
          <w:szCs w:val="30"/>
          <w:highlight w:val="none"/>
        </w:rPr>
        <w:t>二〇二</w:t>
      </w:r>
      <w:r>
        <w:rPr>
          <w:rFonts w:hint="eastAsia" w:ascii="宋体"/>
          <w:b/>
          <w:color w:val="auto"/>
          <w:sz w:val="30"/>
          <w:szCs w:val="30"/>
          <w:highlight w:val="none"/>
          <w:lang w:val="en-US" w:eastAsia="zh-CN"/>
        </w:rPr>
        <w:t>五</w:t>
      </w:r>
      <w:r>
        <w:rPr>
          <w:rFonts w:hint="eastAsia" w:ascii="宋体"/>
          <w:b/>
          <w:color w:val="auto"/>
          <w:sz w:val="30"/>
          <w:szCs w:val="30"/>
          <w:highlight w:val="none"/>
        </w:rPr>
        <w:t>年</w:t>
      </w:r>
      <w:r>
        <w:rPr>
          <w:rFonts w:hint="eastAsia" w:ascii="宋体"/>
          <w:b/>
          <w:color w:val="auto"/>
          <w:sz w:val="30"/>
          <w:szCs w:val="30"/>
          <w:highlight w:val="none"/>
          <w:lang w:val="en-US" w:eastAsia="zh-CN"/>
        </w:rPr>
        <w:t>二</w:t>
      </w:r>
      <w:r>
        <w:rPr>
          <w:rFonts w:hint="eastAsia" w:ascii="宋体"/>
          <w:b/>
          <w:color w:val="auto"/>
          <w:sz w:val="30"/>
          <w:szCs w:val="30"/>
          <w:highlight w:val="none"/>
        </w:rPr>
        <w:t>月</w:t>
      </w:r>
      <w:bookmarkStart w:id="0" w:name="_Hlt101843627"/>
      <w:bookmarkEnd w:id="0"/>
      <w:bookmarkStart w:id="1" w:name="_Hlt101233737"/>
      <w:bookmarkEnd w:id="1"/>
      <w:r>
        <w:rPr>
          <w:rFonts w:hint="eastAsia" w:ascii="仿宋" w:hAnsi="仿宋" w:eastAsia="仿宋" w:cs="仿宋"/>
          <w:b/>
          <w:bCs/>
          <w:color w:val="auto"/>
          <w:sz w:val="36"/>
          <w:szCs w:val="36"/>
          <w:highlight w:val="none"/>
        </w:rPr>
        <w:br w:type="page"/>
      </w:r>
      <w:r>
        <w:rPr>
          <w:rFonts w:hint="eastAsia" w:ascii="仿宋" w:hAnsi="仿宋" w:eastAsia="仿宋" w:cs="仿宋"/>
          <w:b/>
          <w:bCs/>
          <w:color w:val="auto"/>
          <w:sz w:val="36"/>
          <w:szCs w:val="36"/>
          <w:highlight w:val="none"/>
        </w:rPr>
        <w:t>目    录</w:t>
      </w:r>
    </w:p>
    <w:p>
      <w:pPr>
        <w:spacing w:line="360" w:lineRule="auto"/>
        <w:jc w:val="center"/>
        <w:rPr>
          <w:rFonts w:hint="eastAsia" w:ascii="仿宋" w:hAnsi="仿宋" w:eastAsia="仿宋" w:cs="仿宋"/>
          <w:b/>
          <w:bCs/>
          <w:color w:val="auto"/>
          <w:sz w:val="36"/>
          <w:szCs w:val="36"/>
          <w:highlight w:val="none"/>
        </w:rPr>
      </w:pPr>
    </w:p>
    <w:p>
      <w:pPr>
        <w:pStyle w:val="15"/>
        <w:tabs>
          <w:tab w:val="right" w:leader="dot" w:pos="8959"/>
          <w:tab w:val="clear" w:pos="9345"/>
        </w:tabs>
        <w:rPr>
          <w:color w:val="auto"/>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_Toc26722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第一章  磋商邀请</w:t>
      </w:r>
      <w:r>
        <w:rPr>
          <w:color w:val="auto"/>
        </w:rPr>
        <w:tab/>
      </w:r>
      <w:r>
        <w:rPr>
          <w:color w:val="auto"/>
        </w:rPr>
        <w:fldChar w:fldCharType="begin"/>
      </w:r>
      <w:r>
        <w:rPr>
          <w:color w:val="auto"/>
        </w:rPr>
        <w:instrText xml:space="preserve"> PAGEREF _Toc26722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_Toc10790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第二章  磋商须知</w:t>
      </w:r>
      <w:r>
        <w:rPr>
          <w:color w:val="auto"/>
        </w:rPr>
        <w:tab/>
      </w:r>
      <w:r>
        <w:rPr>
          <w:color w:val="auto"/>
        </w:rPr>
        <w:fldChar w:fldCharType="begin"/>
      </w:r>
      <w:r>
        <w:rPr>
          <w:color w:val="auto"/>
        </w:rPr>
        <w:instrText xml:space="preserve"> PAGEREF _Toc10790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_Toc26516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第三章  供应商资格条件要求</w:t>
      </w:r>
      <w:r>
        <w:rPr>
          <w:color w:val="auto"/>
        </w:rPr>
        <w:tab/>
      </w:r>
      <w:r>
        <w:rPr>
          <w:color w:val="auto"/>
        </w:rPr>
        <w:fldChar w:fldCharType="begin"/>
      </w:r>
      <w:r>
        <w:rPr>
          <w:color w:val="auto"/>
        </w:rPr>
        <w:instrText xml:space="preserve"> PAGEREF _Toc26516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_Toc19914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第四章  供应商资格证明材料</w:t>
      </w:r>
      <w:r>
        <w:rPr>
          <w:color w:val="auto"/>
        </w:rPr>
        <w:tab/>
      </w:r>
      <w:r>
        <w:rPr>
          <w:color w:val="auto"/>
        </w:rPr>
        <w:fldChar w:fldCharType="begin"/>
      </w:r>
      <w:r>
        <w:rPr>
          <w:color w:val="auto"/>
        </w:rPr>
        <w:instrText xml:space="preserve"> PAGEREF _Toc19914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_Toc2963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第五章  采购项目技术、服务、采购合同内容条款及其他商务要求</w:t>
      </w:r>
      <w:r>
        <w:rPr>
          <w:color w:val="auto"/>
        </w:rPr>
        <w:tab/>
      </w:r>
      <w:r>
        <w:rPr>
          <w:color w:val="auto"/>
        </w:rPr>
        <w:fldChar w:fldCharType="begin"/>
      </w:r>
      <w:r>
        <w:rPr>
          <w:color w:val="auto"/>
        </w:rPr>
        <w:instrText xml:space="preserve"> PAGEREF _Toc2963 \h </w:instrText>
      </w:r>
      <w:r>
        <w:rPr>
          <w:color w:val="auto"/>
        </w:rPr>
        <w:fldChar w:fldCharType="separate"/>
      </w:r>
      <w:r>
        <w:rPr>
          <w:color w:val="auto"/>
        </w:rPr>
        <w:t>22</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_Toc23853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第六章  磋商内容、磋商过程中可实质性变动的内容</w:t>
      </w:r>
      <w:r>
        <w:rPr>
          <w:color w:val="auto"/>
        </w:rPr>
        <w:tab/>
      </w:r>
      <w:r>
        <w:rPr>
          <w:color w:val="auto"/>
        </w:rPr>
        <w:fldChar w:fldCharType="begin"/>
      </w:r>
      <w:r>
        <w:rPr>
          <w:color w:val="auto"/>
        </w:rPr>
        <w:instrText xml:space="preserve"> PAGEREF _Toc23853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_Toc29426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第七章  响应文件格式</w:t>
      </w:r>
      <w:r>
        <w:rPr>
          <w:color w:val="auto"/>
        </w:rPr>
        <w:tab/>
      </w:r>
      <w:r>
        <w:rPr>
          <w:color w:val="auto"/>
        </w:rPr>
        <w:fldChar w:fldCharType="begin"/>
      </w:r>
      <w:r>
        <w:rPr>
          <w:color w:val="auto"/>
        </w:rPr>
        <w:instrText xml:space="preserve"> PAGEREF _Toc29426 \h </w:instrText>
      </w:r>
      <w:r>
        <w:rPr>
          <w:color w:val="auto"/>
        </w:rPr>
        <w:fldChar w:fldCharType="separate"/>
      </w:r>
      <w:r>
        <w:rPr>
          <w:color w:val="auto"/>
        </w:rPr>
        <w:t>27</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_Toc20377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第八章  评审方法</w:t>
      </w:r>
      <w:r>
        <w:rPr>
          <w:color w:val="auto"/>
        </w:rPr>
        <w:tab/>
      </w:r>
      <w:r>
        <w:rPr>
          <w:color w:val="auto"/>
        </w:rPr>
        <w:fldChar w:fldCharType="begin"/>
      </w:r>
      <w:r>
        <w:rPr>
          <w:color w:val="auto"/>
        </w:rPr>
        <w:instrText xml:space="preserve"> PAGEREF _Toc20377 \h </w:instrText>
      </w:r>
      <w:r>
        <w:rPr>
          <w:color w:val="auto"/>
        </w:rPr>
        <w:fldChar w:fldCharType="separate"/>
      </w:r>
      <w:r>
        <w:rPr>
          <w:color w:val="auto"/>
        </w:rPr>
        <w:t>49</w:t>
      </w:r>
      <w:r>
        <w:rPr>
          <w:color w:val="auto"/>
        </w:rPr>
        <w:fldChar w:fldCharType="end"/>
      </w:r>
      <w:r>
        <w:rPr>
          <w:rFonts w:hint="eastAsia" w:ascii="仿宋" w:hAnsi="仿宋" w:eastAsia="仿宋" w:cs="仿宋"/>
          <w:color w:val="auto"/>
          <w:szCs w:val="28"/>
          <w:highlight w:val="none"/>
        </w:rPr>
        <w:fldChar w:fldCharType="end"/>
      </w:r>
    </w:p>
    <w:p>
      <w:pPr>
        <w:pStyle w:val="15"/>
        <w:tabs>
          <w:tab w:val="right" w:leader="dot" w:pos="8959"/>
          <w:tab w:val="clear" w:pos="9345"/>
        </w:tabs>
        <w:rPr>
          <w:color w:val="auto"/>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_Toc26292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32"/>
          <w:highlight w:val="none"/>
        </w:rPr>
        <w:t>第九章  采购合同（草案）</w:t>
      </w:r>
      <w:r>
        <w:rPr>
          <w:color w:val="auto"/>
        </w:rPr>
        <w:tab/>
      </w:r>
      <w:r>
        <w:rPr>
          <w:color w:val="auto"/>
        </w:rPr>
        <w:fldChar w:fldCharType="begin"/>
      </w:r>
      <w:r>
        <w:rPr>
          <w:color w:val="auto"/>
        </w:rPr>
        <w:instrText xml:space="preserve"> PAGEREF _Toc26292 \h </w:instrText>
      </w:r>
      <w:r>
        <w:rPr>
          <w:color w:val="auto"/>
        </w:rPr>
        <w:fldChar w:fldCharType="separate"/>
      </w:r>
      <w:r>
        <w:rPr>
          <w:color w:val="auto"/>
        </w:rPr>
        <w:t>57</w:t>
      </w:r>
      <w:r>
        <w:rPr>
          <w:color w:val="auto"/>
        </w:rPr>
        <w:fldChar w:fldCharType="end"/>
      </w:r>
      <w:r>
        <w:rPr>
          <w:rFonts w:hint="eastAsia" w:ascii="仿宋" w:hAnsi="仿宋" w:eastAsia="仿宋" w:cs="仿宋"/>
          <w:color w:val="auto"/>
          <w:szCs w:val="28"/>
          <w:highlight w:val="none"/>
        </w:rPr>
        <w:fldChar w:fldCharType="end"/>
      </w:r>
    </w:p>
    <w:p>
      <w:pPr>
        <w:spacing w:line="360" w:lineRule="auto"/>
        <w:rPr>
          <w:rFonts w:hint="eastAsia" w:ascii="仿宋" w:hAnsi="仿宋" w:eastAsia="仿宋" w:cs="仿宋"/>
          <w:color w:val="auto"/>
          <w:sz w:val="28"/>
          <w:szCs w:val="28"/>
          <w:highlight w:val="none"/>
        </w:rPr>
        <w:sectPr>
          <w:headerReference r:id="rId3" w:type="default"/>
          <w:footerReference r:id="rId5" w:type="default"/>
          <w:headerReference r:id="rId4" w:type="even"/>
          <w:footerReference r:id="rId6" w:type="even"/>
          <w:pgSz w:w="11907" w:h="16840"/>
          <w:pgMar w:top="1440" w:right="1474" w:bottom="1440" w:left="1474" w:header="851" w:footer="992" w:gutter="0"/>
          <w:cols w:space="720" w:num="1"/>
          <w:docGrid w:linePitch="312" w:charSpace="0"/>
        </w:sectPr>
      </w:pPr>
      <w:r>
        <w:rPr>
          <w:rFonts w:hint="eastAsia" w:ascii="仿宋" w:hAnsi="仿宋" w:eastAsia="仿宋" w:cs="仿宋"/>
          <w:color w:val="auto"/>
          <w:szCs w:val="28"/>
          <w:highlight w:val="none"/>
        </w:rPr>
        <w:fldChar w:fldCharType="end"/>
      </w:r>
      <w:bookmarkStart w:id="2" w:name="_Toc24584"/>
    </w:p>
    <w:p>
      <w:pPr>
        <w:pStyle w:val="2"/>
        <w:keepNext/>
        <w:keepLines/>
        <w:pageBreakBefore w:val="0"/>
        <w:widowControl w:val="0"/>
        <w:kinsoku/>
        <w:wordWrap/>
        <w:overflowPunct/>
        <w:topLinePunct w:val="0"/>
        <w:autoSpaceDE/>
        <w:autoSpaceDN/>
        <w:bidi w:val="0"/>
        <w:adjustRightInd/>
        <w:snapToGrid/>
        <w:spacing w:after="100" w:line="240" w:lineRule="atLeast"/>
        <w:jc w:val="center"/>
        <w:textAlignment w:val="auto"/>
        <w:rPr>
          <w:rFonts w:hint="eastAsia" w:ascii="仿宋" w:hAnsi="仿宋" w:eastAsia="仿宋" w:cs="仿宋"/>
          <w:color w:val="auto"/>
          <w:sz w:val="32"/>
          <w:szCs w:val="32"/>
          <w:highlight w:val="none"/>
        </w:rPr>
      </w:pPr>
      <w:bookmarkStart w:id="3" w:name="_Toc26722"/>
      <w:r>
        <w:rPr>
          <w:rFonts w:hint="eastAsia" w:ascii="仿宋" w:hAnsi="仿宋" w:eastAsia="仿宋" w:cs="仿宋"/>
          <w:color w:val="auto"/>
          <w:sz w:val="32"/>
          <w:szCs w:val="32"/>
          <w:highlight w:val="none"/>
        </w:rPr>
        <w:t>第一章  磋商邀请</w:t>
      </w:r>
      <w:bookmarkEnd w:id="2"/>
      <w:bookmarkEnd w:id="3"/>
    </w:p>
    <w:p>
      <w:pPr>
        <w:keepNext w:val="0"/>
        <w:keepLines w:val="0"/>
        <w:pageBreakBefore w:val="0"/>
        <w:widowControl w:val="0"/>
        <w:tabs>
          <w:tab w:val="left" w:pos="7665"/>
        </w:tabs>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u w:val="single"/>
          <w:lang w:eastAsia="zh-CN"/>
        </w:rPr>
        <w:t>四川茂沛工程项目管理有限公司</w:t>
      </w:r>
      <w:r>
        <w:rPr>
          <w:rFonts w:hint="eastAsia" w:ascii="仿宋" w:hAnsi="仿宋" w:eastAsia="仿宋" w:cs="仿宋"/>
          <w:color w:val="auto"/>
          <w:sz w:val="24"/>
          <w:highlight w:val="none"/>
        </w:rPr>
        <w:t>受</w:t>
      </w:r>
      <w:r>
        <w:rPr>
          <w:rFonts w:hint="eastAsia" w:ascii="仿宋" w:hAnsi="仿宋" w:eastAsia="仿宋" w:cs="仿宋"/>
          <w:b/>
          <w:bCs/>
          <w:color w:val="auto"/>
          <w:sz w:val="24"/>
          <w:highlight w:val="none"/>
          <w:u w:val="single"/>
          <w:lang w:eastAsia="zh-CN"/>
        </w:rPr>
        <w:t>乐山市总工会</w:t>
      </w:r>
      <w:r>
        <w:rPr>
          <w:rFonts w:hint="eastAsia" w:ascii="仿宋" w:hAnsi="仿宋" w:eastAsia="仿宋" w:cs="仿宋"/>
          <w:bCs/>
          <w:color w:val="auto"/>
          <w:sz w:val="24"/>
          <w:highlight w:val="none"/>
          <w:u w:val="none"/>
        </w:rPr>
        <w:t>（采购人名称）</w:t>
      </w:r>
      <w:r>
        <w:rPr>
          <w:rFonts w:hint="eastAsia" w:ascii="仿宋" w:hAnsi="仿宋" w:eastAsia="仿宋" w:cs="仿宋"/>
          <w:color w:val="auto"/>
          <w:sz w:val="24"/>
          <w:highlight w:val="none"/>
        </w:rPr>
        <w:t>委托，拟对</w:t>
      </w:r>
      <w:r>
        <w:rPr>
          <w:rFonts w:hint="eastAsia" w:ascii="仿宋" w:hAnsi="仿宋" w:eastAsia="仿宋" w:cs="仿宋"/>
          <w:b/>
          <w:bCs/>
          <w:color w:val="auto"/>
          <w:sz w:val="24"/>
          <w:highlight w:val="none"/>
          <w:u w:val="single"/>
          <w:lang w:eastAsia="zh-CN"/>
        </w:rPr>
        <w:t>乐山市工人文化宫异地重建项目概念性方案设计</w:t>
      </w:r>
      <w:r>
        <w:rPr>
          <w:rFonts w:hint="eastAsia" w:ascii="仿宋" w:hAnsi="仿宋" w:eastAsia="仿宋" w:cs="仿宋"/>
          <w:bCs/>
          <w:color w:val="auto"/>
          <w:sz w:val="24"/>
          <w:highlight w:val="none"/>
          <w:u w:val="none"/>
        </w:rPr>
        <w:t>（项目名称）</w:t>
      </w:r>
      <w:r>
        <w:rPr>
          <w:rFonts w:hint="eastAsia" w:ascii="仿宋" w:hAnsi="仿宋" w:eastAsia="仿宋" w:cs="仿宋"/>
          <w:color w:val="auto"/>
          <w:sz w:val="24"/>
          <w:szCs w:val="32"/>
          <w:highlight w:val="none"/>
        </w:rPr>
        <w:t>采用竞争性磋商方式</w:t>
      </w:r>
      <w:r>
        <w:rPr>
          <w:rFonts w:hint="eastAsia" w:ascii="仿宋" w:hAnsi="仿宋" w:eastAsia="仿宋" w:cs="仿宋"/>
          <w:color w:val="auto"/>
          <w:sz w:val="24"/>
          <w:highlight w:val="none"/>
        </w:rPr>
        <w:t>进行采购，特</w:t>
      </w:r>
      <w:r>
        <w:rPr>
          <w:rFonts w:hint="eastAsia" w:ascii="仿宋" w:hAnsi="仿宋" w:eastAsia="仿宋" w:cs="仿宋"/>
          <w:color w:val="auto"/>
          <w:sz w:val="24"/>
          <w:szCs w:val="28"/>
          <w:highlight w:val="none"/>
        </w:rPr>
        <w:t>邀请符合本次采购要求的供应商参加</w:t>
      </w:r>
      <w:r>
        <w:rPr>
          <w:rFonts w:hint="eastAsia" w:ascii="仿宋" w:hAnsi="仿宋" w:eastAsia="仿宋" w:cs="仿宋"/>
          <w:color w:val="auto"/>
          <w:sz w:val="24"/>
          <w:highlight w:val="none"/>
        </w:rPr>
        <w:t>本项目的竞争性磋商</w:t>
      </w:r>
      <w:r>
        <w:rPr>
          <w:rFonts w:hint="eastAsia" w:ascii="仿宋" w:hAnsi="仿宋" w:eastAsia="仿宋" w:cs="仿宋"/>
          <w:color w:val="auto"/>
          <w:sz w:val="24"/>
          <w:szCs w:val="28"/>
          <w:highlight w:val="none"/>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一、采购编号：</w:t>
      </w:r>
      <w:r>
        <w:rPr>
          <w:rFonts w:hint="eastAsia" w:ascii="仿宋" w:hAnsi="仿宋" w:eastAsia="仿宋" w:cs="仿宋"/>
          <w:b/>
          <w:color w:val="auto"/>
          <w:sz w:val="24"/>
          <w:highlight w:val="none"/>
          <w:lang w:eastAsia="zh-CN"/>
        </w:rPr>
        <w:t>SCMP250101号</w:t>
      </w:r>
    </w:p>
    <w:p>
      <w:pPr>
        <w:keepNext w:val="0"/>
        <w:keepLines w:val="0"/>
        <w:pageBreakBefore w:val="0"/>
        <w:widowControl w:val="0"/>
        <w:kinsoku/>
        <w:wordWrap/>
        <w:overflowPunct/>
        <w:topLinePunct w:val="0"/>
        <w:bidi w:val="0"/>
        <w:snapToGrid/>
        <w:spacing w:line="400" w:lineRule="exact"/>
        <w:ind w:right="31" w:rightChars="15" w:firstLine="480" w:firstLineChars="200"/>
        <w:textAlignment w:val="auto"/>
        <w:rPr>
          <w:rFonts w:hint="eastAsia" w:ascii="仿宋" w:hAnsi="仿宋" w:eastAsia="仿宋" w:cs="仿宋"/>
          <w:b/>
          <w:color w:val="auto"/>
          <w:sz w:val="24"/>
          <w:szCs w:val="32"/>
          <w:highlight w:val="none"/>
        </w:rPr>
      </w:pPr>
      <w:r>
        <w:rPr>
          <w:rFonts w:hint="eastAsia" w:ascii="仿宋" w:hAnsi="仿宋" w:eastAsia="仿宋" w:cs="仿宋"/>
          <w:b/>
          <w:bCs/>
          <w:color w:val="auto"/>
          <w:sz w:val="24"/>
          <w:highlight w:val="none"/>
        </w:rPr>
        <w:t>二、</w:t>
      </w:r>
      <w:r>
        <w:rPr>
          <w:rFonts w:hint="eastAsia" w:ascii="仿宋" w:hAnsi="仿宋" w:eastAsia="仿宋" w:cs="仿宋"/>
          <w:b/>
          <w:color w:val="auto"/>
          <w:sz w:val="24"/>
          <w:highlight w:val="none"/>
        </w:rPr>
        <w:t>采购项目：</w:t>
      </w:r>
      <w:r>
        <w:rPr>
          <w:rFonts w:hint="eastAsia" w:ascii="仿宋" w:hAnsi="仿宋" w:eastAsia="仿宋" w:cs="仿宋"/>
          <w:b/>
          <w:color w:val="auto"/>
          <w:sz w:val="24"/>
          <w:highlight w:val="none"/>
          <w:lang w:eastAsia="zh-CN"/>
        </w:rPr>
        <w:t>乐山市工人文化宫异地重建项目概念性方案设计</w:t>
      </w:r>
    </w:p>
    <w:p>
      <w:pPr>
        <w:keepNext w:val="0"/>
        <w:keepLines w:val="0"/>
        <w:pageBreakBefore w:val="0"/>
        <w:widowControl w:val="0"/>
        <w:kinsoku/>
        <w:wordWrap/>
        <w:overflowPunct/>
        <w:topLinePunct w:val="0"/>
        <w:bidi w:val="0"/>
        <w:snapToGrid/>
        <w:spacing w:line="400" w:lineRule="exact"/>
        <w:ind w:right="31" w:rightChars="15" w:firstLine="480" w:firstLineChars="200"/>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szCs w:val="28"/>
          <w:highlight w:val="none"/>
        </w:rPr>
        <w:t>三、</w:t>
      </w:r>
      <w:r>
        <w:rPr>
          <w:rFonts w:hint="eastAsia" w:ascii="仿宋" w:hAnsi="仿宋" w:eastAsia="仿宋" w:cs="仿宋"/>
          <w:b/>
          <w:color w:val="auto"/>
          <w:sz w:val="24"/>
          <w:szCs w:val="28"/>
          <w:highlight w:val="none"/>
          <w:lang w:val="en-US" w:eastAsia="zh-CN"/>
        </w:rPr>
        <w:t>采购人</w:t>
      </w:r>
      <w:r>
        <w:rPr>
          <w:rFonts w:hint="eastAsia" w:ascii="仿宋" w:hAnsi="仿宋" w:eastAsia="仿宋" w:cs="仿宋"/>
          <w:b/>
          <w:color w:val="auto"/>
          <w:sz w:val="24"/>
          <w:szCs w:val="28"/>
          <w:highlight w:val="none"/>
        </w:rPr>
        <w:t>：</w:t>
      </w:r>
      <w:r>
        <w:rPr>
          <w:rFonts w:hint="eastAsia" w:ascii="仿宋" w:hAnsi="仿宋" w:eastAsia="仿宋" w:cs="仿宋"/>
          <w:b/>
          <w:color w:val="auto"/>
          <w:sz w:val="24"/>
          <w:highlight w:val="none"/>
          <w:lang w:eastAsia="zh-CN"/>
        </w:rPr>
        <w:t>乐山市总工会</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四</w:t>
      </w:r>
      <w:r>
        <w:rPr>
          <w:rFonts w:hint="eastAsia" w:ascii="仿宋" w:hAnsi="仿宋" w:eastAsia="仿宋" w:cs="仿宋"/>
          <w:b/>
          <w:bCs/>
          <w:color w:val="auto"/>
          <w:sz w:val="24"/>
          <w:highlight w:val="none"/>
        </w:rPr>
        <w:t>、采购内容</w:t>
      </w:r>
      <w:r>
        <w:rPr>
          <w:rFonts w:hint="eastAsia" w:ascii="仿宋" w:hAnsi="仿宋" w:eastAsia="仿宋" w:cs="仿宋"/>
          <w:b/>
          <w:color w:val="auto"/>
          <w:sz w:val="24"/>
          <w:highlight w:val="none"/>
        </w:rPr>
        <w:t>：</w:t>
      </w:r>
    </w:p>
    <w:p>
      <w:pPr>
        <w:keepNext w:val="0"/>
        <w:keepLines w:val="0"/>
        <w:pageBreakBefore w:val="0"/>
        <w:widowControl w:val="0"/>
        <w:tabs>
          <w:tab w:val="left" w:pos="1134"/>
        </w:tabs>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本项目采购内容为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乐山市工人文化宫异地重建项目概念性方案设计</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项目共1个包</w:t>
      </w:r>
      <w:r>
        <w:rPr>
          <w:rFonts w:hint="eastAsia" w:ascii="仿宋" w:hAnsi="仿宋" w:eastAsia="仿宋" w:cs="仿宋"/>
          <w:color w:val="auto"/>
          <w:sz w:val="24"/>
          <w:highlight w:val="none"/>
          <w:u w:val="none"/>
          <w:lang w:val="zh-CN" w:eastAsia="zh-CN"/>
        </w:rPr>
        <w:t>。</w:t>
      </w:r>
      <w:r>
        <w:rPr>
          <w:rFonts w:hint="eastAsia" w:ascii="仿宋" w:hAnsi="仿宋" w:eastAsia="仿宋" w:cs="仿宋"/>
          <w:color w:val="auto"/>
          <w:sz w:val="24"/>
          <w:highlight w:val="none"/>
          <w:u w:val="none"/>
        </w:rPr>
        <w:t>（详见磋商文件第</w:t>
      </w:r>
      <w:r>
        <w:rPr>
          <w:rFonts w:hint="eastAsia" w:ascii="仿宋" w:hAnsi="仿宋" w:eastAsia="仿宋" w:cs="仿宋"/>
          <w:color w:val="auto"/>
          <w:sz w:val="24"/>
          <w:highlight w:val="none"/>
          <w:u w:val="none"/>
          <w:lang w:val="en-US" w:eastAsia="zh-CN"/>
        </w:rPr>
        <w:t>五</w:t>
      </w:r>
      <w:r>
        <w:rPr>
          <w:rFonts w:hint="eastAsia" w:ascii="仿宋" w:hAnsi="仿宋" w:eastAsia="仿宋" w:cs="仿宋"/>
          <w:color w:val="auto"/>
          <w:sz w:val="24"/>
          <w:highlight w:val="none"/>
          <w:u w:val="none"/>
        </w:rPr>
        <w:t>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五、供应商邀请方式</w:t>
      </w:r>
    </w:p>
    <w:p>
      <w:pPr>
        <w:pStyle w:val="31"/>
        <w:keepNext w:val="0"/>
        <w:keepLines w:val="0"/>
        <w:pageBreakBefore w:val="0"/>
        <w:widowControl w:val="0"/>
        <w:kinsoku/>
        <w:wordWrap w:val="0"/>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bCs/>
          <w:color w:val="auto"/>
          <w:highlight w:val="none"/>
        </w:rPr>
        <w:t>公告方式：本次竞争性磋商邀请在</w:t>
      </w:r>
      <w:r>
        <w:rPr>
          <w:rFonts w:hint="eastAsia" w:ascii="仿宋" w:hAnsi="仿宋" w:eastAsia="仿宋" w:cs="仿宋"/>
          <w:bCs/>
          <w:color w:val="auto"/>
          <w:highlight w:val="none"/>
          <w:u w:val="single"/>
          <w:lang w:val="en-US" w:eastAsia="zh-CN"/>
        </w:rPr>
        <w:t>中国政府采购网（https://www.ccgp.gov.cn/）和中国招标投标公共服务平台（http://www.cebpubservice.com/）</w:t>
      </w:r>
      <w:r>
        <w:rPr>
          <w:rFonts w:hint="eastAsia" w:ascii="仿宋" w:hAnsi="仿宋" w:eastAsia="仿宋" w:cs="仿宋"/>
          <w:bCs/>
          <w:color w:val="auto"/>
          <w:highlight w:val="none"/>
        </w:rPr>
        <w:t>上以公告形式发布。</w:t>
      </w:r>
    </w:p>
    <w:p>
      <w:pPr>
        <w:keepNext w:val="0"/>
        <w:keepLines w:val="0"/>
        <w:pageBreakBefore w:val="0"/>
        <w:widowControl w:val="0"/>
        <w:kinsoku/>
        <w:wordWrap/>
        <w:overflowPunct/>
        <w:topLinePunct w:val="0"/>
        <w:bidi w:val="0"/>
        <w:snapToGrid/>
        <w:spacing w:after="156" w:afterLines="50" w:line="40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六、供应商参加本次采购活动应具备下列条件：</w:t>
      </w:r>
    </w:p>
    <w:p>
      <w:pPr>
        <w:pStyle w:val="55"/>
        <w:keepNext w:val="0"/>
        <w:keepLines w:val="0"/>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pPr>
        <w:keepNext w:val="0"/>
        <w:keepLines w:val="0"/>
        <w:pageBreakBefore w:val="0"/>
        <w:widowControl w:val="0"/>
        <w:tabs>
          <w:tab w:val="left" w:pos="7665"/>
        </w:tabs>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w:t>
      </w:r>
      <w:r>
        <w:rPr>
          <w:rFonts w:hint="eastAsia" w:ascii="仿宋" w:hAnsi="仿宋" w:eastAsia="仿宋" w:cs="仿宋"/>
          <w:color w:val="auto"/>
          <w:sz w:val="24"/>
          <w:highlight w:val="none"/>
          <w:lang w:val="en-US" w:eastAsia="zh-CN"/>
        </w:rPr>
        <w:t>需</w:t>
      </w:r>
      <w:r>
        <w:rPr>
          <w:rFonts w:hint="eastAsia" w:ascii="仿宋" w:hAnsi="仿宋" w:eastAsia="仿宋" w:cs="仿宋"/>
          <w:color w:val="auto"/>
          <w:sz w:val="24"/>
          <w:highlight w:val="none"/>
        </w:rPr>
        <w:t>的设备和专业技术能力；</w:t>
      </w:r>
    </w:p>
    <w:p>
      <w:pPr>
        <w:keepNext w:val="0"/>
        <w:keepLines w:val="0"/>
        <w:pageBreakBefore w:val="0"/>
        <w:widowControl w:val="0"/>
        <w:tabs>
          <w:tab w:val="left" w:pos="7665"/>
        </w:tabs>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5、参加采购活动前三年内，在经营活动中没有重大违法记录；</w:t>
      </w:r>
    </w:p>
    <w:p>
      <w:pPr>
        <w:pStyle w:val="55"/>
        <w:keepNext w:val="0"/>
        <w:keepLines w:val="0"/>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6、符合法律、行政法规规定的其他条件；</w:t>
      </w:r>
    </w:p>
    <w:p>
      <w:pPr>
        <w:pStyle w:val="55"/>
        <w:keepNext w:val="0"/>
        <w:keepLines w:val="0"/>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7、根据项目特殊要求设置的特定条件</w:t>
      </w:r>
      <w:r>
        <w:rPr>
          <w:rFonts w:hint="eastAsia" w:ascii="仿宋" w:hAnsi="仿宋" w:eastAsia="仿宋" w:cs="仿宋"/>
          <w:color w:val="auto"/>
          <w:sz w:val="24"/>
          <w:highlight w:val="none"/>
          <w:lang w:val="en-US" w:eastAsia="zh-CN"/>
        </w:rPr>
        <w:t>:</w:t>
      </w:r>
    </w:p>
    <w:p>
      <w:pPr>
        <w:pStyle w:val="66"/>
        <w:spacing w:line="360" w:lineRule="auto"/>
        <w:ind w:firstLine="720" w:firstLineChars="3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7.1、供应商须具备国家行政主管部门颁发的建筑行业（建筑工程）设计乙级及以上资质；</w:t>
      </w:r>
    </w:p>
    <w:p>
      <w:pPr>
        <w:pStyle w:val="66"/>
        <w:spacing w:line="360" w:lineRule="auto"/>
        <w:ind w:firstLine="720" w:firstLineChars="300"/>
        <w:jc w:val="left"/>
        <w:rPr>
          <w:rFonts w:hint="default" w:ascii="宋体" w:hAnsi="宋体" w:eastAsia="宋体" w:cs="宋体"/>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7.2、企业注册地不在四川省行政区域内的省外企业须提供在有效期内的四川省住房和城乡建设厅官网已公开的入川信息网页截图。</w:t>
      </w:r>
    </w:p>
    <w:p>
      <w:pPr>
        <w:pStyle w:val="55"/>
        <w:keepNext w:val="0"/>
        <w:keepLines w:val="0"/>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8、本项目不接受联合体参加磋商。</w:t>
      </w:r>
    </w:p>
    <w:p>
      <w:pPr>
        <w:pStyle w:val="55"/>
        <w:keepNext w:val="0"/>
        <w:keepLines w:val="0"/>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资格条件要求详见本文件第三章，资格条件证明材料详见本文件第四章。</w:t>
      </w:r>
    </w:p>
    <w:p>
      <w:pPr>
        <w:pStyle w:val="55"/>
        <w:keepNext w:val="0"/>
        <w:keepLines w:val="0"/>
        <w:pageBreakBefore w:val="0"/>
        <w:widowControl w:val="0"/>
        <w:kinsoku/>
        <w:wordWrap/>
        <w:overflowPunct/>
        <w:topLinePunct w:val="0"/>
        <w:bidi w:val="0"/>
        <w:snapToGrid/>
        <w:spacing w:line="400" w:lineRule="exact"/>
        <w:ind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七、拒绝参加本次采购活动的供应商</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55"/>
        <w:keepNext w:val="0"/>
        <w:keepLines w:val="0"/>
        <w:pageBreakBefore w:val="0"/>
        <w:widowControl w:val="0"/>
        <w:kinsoku/>
        <w:wordWrap/>
        <w:overflowPunct/>
        <w:topLinePunct w:val="0"/>
        <w:bidi w:val="0"/>
        <w:snapToGrid/>
        <w:spacing w:line="40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bidi w:val="0"/>
        <w:snapToGrid/>
        <w:spacing w:after="50" w:line="400" w:lineRule="exact"/>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八、磋商文件获取时间、地点：</w:t>
      </w:r>
    </w:p>
    <w:p>
      <w:pPr>
        <w:keepNext w:val="0"/>
        <w:keepLines w:val="0"/>
        <w:pageBreakBefore w:val="0"/>
        <w:widowControl w:val="0"/>
        <w:kinsoku/>
        <w:wordWrap/>
        <w:overflowPunct/>
        <w:topLinePunct w:val="0"/>
        <w:bidi w:val="0"/>
        <w:snapToGrid/>
        <w:spacing w:after="50"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竞争性磋商文件自202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日早上09:</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0，下午14:</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0-17:00（北京时间，法定节假日除外）通过电子邮件形式报名</w:t>
      </w:r>
      <w:r>
        <w:rPr>
          <w:rFonts w:hint="eastAsia" w:ascii="仿宋" w:hAnsi="仿宋" w:eastAsia="仿宋" w:cs="仿宋"/>
          <w:color w:val="auto"/>
          <w:sz w:val="24"/>
          <w:highlight w:val="none"/>
          <w:lang w:val="en-US" w:eastAsia="zh-CN"/>
        </w:rPr>
        <w:t>或现场报名形式</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bidi w:val="0"/>
        <w:snapToGrid/>
        <w:spacing w:after="50"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注：供应商报名时将加盖供应商鲜章的介绍信(介绍信中文字内容应当至少含有项目名称、项目编号</w:t>
      </w:r>
      <w:r>
        <w:rPr>
          <w:rFonts w:hint="eastAsia" w:ascii="仿宋" w:hAnsi="仿宋" w:eastAsia="仿宋" w:cs="仿宋"/>
          <w:color w:val="auto"/>
          <w:sz w:val="24"/>
          <w:highlight w:val="none"/>
          <w:lang w:val="en-US" w:eastAsia="zh-CN"/>
        </w:rPr>
        <w:t>及包号</w:t>
      </w:r>
      <w:r>
        <w:rPr>
          <w:rFonts w:hint="eastAsia" w:ascii="仿宋" w:hAnsi="仿宋" w:eastAsia="仿宋" w:cs="仿宋"/>
          <w:color w:val="auto"/>
          <w:sz w:val="24"/>
          <w:highlight w:val="none"/>
        </w:rPr>
        <w:t>、供应商名称、授权代表名字、授权事宜、联系电话、收件邮箱等内容)和经办人身份证复印件</w:t>
      </w:r>
      <w:r>
        <w:rPr>
          <w:rFonts w:hint="eastAsia" w:ascii="仿宋" w:hAnsi="仿宋" w:eastAsia="仿宋" w:cs="仿宋"/>
          <w:color w:val="auto"/>
          <w:sz w:val="24"/>
          <w:highlight w:val="none"/>
          <w:lang w:val="en-US" w:eastAsia="zh-CN"/>
        </w:rPr>
        <w:t>现场报名或</w:t>
      </w:r>
      <w:r>
        <w:rPr>
          <w:rFonts w:hint="eastAsia" w:ascii="仿宋" w:hAnsi="仿宋" w:eastAsia="仿宋" w:cs="仿宋"/>
          <w:color w:val="auto"/>
          <w:sz w:val="24"/>
          <w:highlight w:val="none"/>
        </w:rPr>
        <w:t>发送至报名邮箱：</w:t>
      </w:r>
      <w:r>
        <w:rPr>
          <w:rFonts w:hint="eastAsia" w:ascii="仿宋" w:hAnsi="仿宋" w:eastAsia="仿宋" w:cs="仿宋"/>
          <w:color w:val="auto"/>
          <w:sz w:val="24"/>
          <w:lang w:val="en-US" w:eastAsia="zh-CN"/>
        </w:rPr>
        <w:t>3772821787</w:t>
      </w:r>
      <w:r>
        <w:rPr>
          <w:rFonts w:hint="eastAsia" w:ascii="仿宋" w:hAnsi="仿宋" w:eastAsia="仿宋" w:cs="仿宋"/>
          <w:color w:val="auto"/>
          <w:sz w:val="24"/>
          <w:highlight w:val="none"/>
        </w:rPr>
        <w:t>@qq.com(①报名资料递交以本邮箱收到报名邮件时间为准；②报名资料扫描为一个文档或文件，邮件主题备注项目名称公司名称发送，未标注的视为无效邮件)。供应商报名信息经审核且符合本项目报名要求，支付报名费后，将按供应商介绍信中注明的邮箱发出磋商文件。报名费支付时，须在转账中备注报名项目名称及供应商名称，磋商文件售价：</w:t>
      </w:r>
      <w:r>
        <w:rPr>
          <w:rFonts w:hint="eastAsia" w:ascii="仿宋" w:hAnsi="仿宋" w:eastAsia="仿宋" w:cs="仿宋"/>
          <w:color w:val="auto"/>
          <w:sz w:val="24"/>
          <w:highlight w:val="none"/>
          <w:lang w:val="en-US" w:eastAsia="zh-CN"/>
        </w:rPr>
        <w:t>500</w:t>
      </w:r>
      <w:r>
        <w:rPr>
          <w:rFonts w:hint="eastAsia" w:ascii="仿宋" w:hAnsi="仿宋" w:eastAsia="仿宋" w:cs="仿宋"/>
          <w:color w:val="auto"/>
          <w:sz w:val="24"/>
          <w:highlight w:val="none"/>
        </w:rPr>
        <w:t>元/份,（报名费缴纳后概不退还,磋商资格不能转让）。报名费缴纳请联系：</w:t>
      </w:r>
      <w:r>
        <w:rPr>
          <w:rFonts w:hint="eastAsia" w:ascii="仿宋" w:hAnsi="仿宋" w:eastAsia="仿宋" w:cs="仿宋"/>
          <w:color w:val="auto"/>
          <w:sz w:val="24"/>
          <w:highlight w:val="none"/>
          <w:lang w:val="en-US" w:eastAsia="zh-CN"/>
        </w:rPr>
        <w:t>17760327098</w:t>
      </w:r>
      <w:r>
        <w:rPr>
          <w:rFonts w:hint="eastAsia" w:ascii="仿宋" w:hAnsi="仿宋" w:eastAsia="仿宋" w:cs="仿宋"/>
          <w:color w:val="auto"/>
          <w:sz w:val="24"/>
          <w:highlight w:val="none"/>
        </w:rPr>
        <w:t>。</w:t>
      </w:r>
    </w:p>
    <w:p>
      <w:pPr>
        <w:pStyle w:val="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drawing>
          <wp:inline distT="0" distB="0" distL="114300" distR="114300">
            <wp:extent cx="1252855" cy="1263015"/>
            <wp:effectExtent l="0" t="0" r="0" b="0"/>
            <wp:docPr id="3" name="图片 3" descr="55e76b14667e752184e38767e7af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e76b14667e752184e38767e7af2d9"/>
                    <pic:cNvPicPr>
                      <a:picLocks noChangeAspect="1"/>
                    </pic:cNvPicPr>
                  </pic:nvPicPr>
                  <pic:blipFill>
                    <a:blip r:embed="rId12"/>
                    <a:srcRect l="27797" t="25246" r="27771" b="41861"/>
                    <a:stretch>
                      <a:fillRect/>
                    </a:stretch>
                  </pic:blipFill>
                  <pic:spPr>
                    <a:xfrm>
                      <a:off x="0" y="0"/>
                      <a:ext cx="1252855" cy="1263015"/>
                    </a:xfrm>
                    <a:prstGeom prst="rect">
                      <a:avLst/>
                    </a:prstGeom>
                  </pic:spPr>
                </pic:pic>
              </a:graphicData>
            </a:graphic>
          </wp:inline>
        </w:drawing>
      </w:r>
    </w:p>
    <w:p>
      <w:pPr>
        <w:keepNext w:val="0"/>
        <w:keepLines w:val="0"/>
        <w:pageBreakBefore w:val="0"/>
        <w:widowControl w:val="0"/>
        <w:kinsoku/>
        <w:wordWrap/>
        <w:overflowPunct/>
        <w:topLinePunct w:val="0"/>
        <w:bidi w:val="0"/>
        <w:snapToGrid/>
        <w:spacing w:after="156" w:afterLines="50" w:line="400" w:lineRule="exact"/>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szCs w:val="28"/>
          <w:highlight w:val="none"/>
        </w:rPr>
        <w:t>九、</w:t>
      </w:r>
      <w:r>
        <w:rPr>
          <w:rFonts w:hint="eastAsia" w:ascii="仿宋" w:hAnsi="仿宋" w:eastAsia="仿宋" w:cs="仿宋"/>
          <w:b/>
          <w:color w:val="auto"/>
          <w:sz w:val="24"/>
          <w:highlight w:val="none"/>
        </w:rPr>
        <w:t>递交响应文件截止时间：</w:t>
      </w:r>
      <w:r>
        <w:rPr>
          <w:rFonts w:hint="eastAsia" w:ascii="仿宋" w:hAnsi="仿宋" w:eastAsia="仿宋" w:cs="仿宋"/>
          <w:b/>
          <w:color w:val="auto"/>
          <w:sz w:val="24"/>
          <w:highlight w:val="none"/>
          <w:u w:val="single"/>
          <w:lang w:eastAsia="zh-CN"/>
        </w:rPr>
        <w:t>202</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u w:val="single"/>
        </w:rPr>
        <w:t>年</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20</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val="en-US" w:eastAsia="zh-CN"/>
        </w:rPr>
        <w:t>14</w:t>
      </w:r>
      <w:r>
        <w:rPr>
          <w:rFonts w:hint="eastAsia" w:ascii="仿宋" w:hAnsi="仿宋" w:eastAsia="仿宋" w:cs="仿宋"/>
          <w:b/>
          <w:color w:val="auto"/>
          <w:sz w:val="24"/>
          <w:highlight w:val="none"/>
          <w:u w:val="single"/>
        </w:rPr>
        <w:t>:</w:t>
      </w:r>
      <w:r>
        <w:rPr>
          <w:rFonts w:hint="eastAsia" w:ascii="仿宋" w:hAnsi="仿宋" w:eastAsia="仿宋" w:cs="仿宋"/>
          <w:b/>
          <w:color w:val="auto"/>
          <w:sz w:val="24"/>
          <w:highlight w:val="none"/>
          <w:u w:val="single"/>
          <w:lang w:val="en-US" w:eastAsia="zh-CN"/>
        </w:rPr>
        <w:t>0</w:t>
      </w:r>
      <w:r>
        <w:rPr>
          <w:rFonts w:hint="eastAsia" w:ascii="仿宋" w:hAnsi="仿宋" w:eastAsia="仿宋" w:cs="仿宋"/>
          <w:b/>
          <w:color w:val="auto"/>
          <w:sz w:val="24"/>
          <w:highlight w:val="none"/>
          <w:u w:val="single"/>
        </w:rPr>
        <w:t>0分</w:t>
      </w:r>
      <w:r>
        <w:rPr>
          <w:rFonts w:hint="eastAsia" w:ascii="仿宋" w:hAnsi="仿宋" w:eastAsia="仿宋" w:cs="仿宋"/>
          <w:color w:val="auto"/>
          <w:sz w:val="24"/>
          <w:szCs w:val="28"/>
          <w:highlight w:val="none"/>
        </w:rPr>
        <w:t>（北京时间）。</w:t>
      </w:r>
    </w:p>
    <w:p>
      <w:pPr>
        <w:pStyle w:val="9"/>
        <w:keepNext w:val="0"/>
        <w:keepLines w:val="0"/>
        <w:pageBreakBefore w:val="0"/>
        <w:widowControl w:val="0"/>
        <w:kinsoku/>
        <w:wordWrap/>
        <w:overflowPunct/>
        <w:topLinePunct w:val="0"/>
        <w:bidi w:val="0"/>
        <w:snapToGrid/>
        <w:spacing w:after="156" w:afterLines="50" w:line="400" w:lineRule="exact"/>
        <w:ind w:firstLine="480"/>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响应文件必须在递交响应文件截止时间前送达磋商地点。逾期送达、密封和标注错误的响应文件，采购人和采购代理机构恕不接收。本次采购不接收邮寄的响应文件。</w:t>
      </w:r>
    </w:p>
    <w:p>
      <w:pPr>
        <w:keepNext w:val="0"/>
        <w:keepLines w:val="0"/>
        <w:pageBreakBefore w:val="0"/>
        <w:widowControl w:val="0"/>
        <w:kinsoku/>
        <w:wordWrap/>
        <w:overflowPunct/>
        <w:topLinePunct w:val="0"/>
        <w:bidi w:val="0"/>
        <w:snapToGrid/>
        <w:spacing w:after="50" w:line="400" w:lineRule="exact"/>
        <w:ind w:firstLine="487" w:firstLineChars="203"/>
        <w:textAlignment w:val="auto"/>
        <w:rPr>
          <w:rFonts w:hint="eastAsia" w:ascii="仿宋" w:hAnsi="仿宋" w:eastAsia="仿宋" w:cs="仿宋"/>
          <w:color w:val="auto"/>
          <w:sz w:val="24"/>
          <w:szCs w:val="28"/>
          <w:highlight w:val="none"/>
        </w:rPr>
      </w:pPr>
      <w:r>
        <w:rPr>
          <w:rFonts w:hint="eastAsia" w:ascii="仿宋" w:hAnsi="仿宋" w:eastAsia="仿宋" w:cs="仿宋"/>
          <w:b/>
          <w:color w:val="auto"/>
          <w:sz w:val="24"/>
          <w:szCs w:val="28"/>
          <w:highlight w:val="none"/>
        </w:rPr>
        <w:t>十、</w:t>
      </w:r>
      <w:r>
        <w:rPr>
          <w:rFonts w:hint="eastAsia" w:ascii="仿宋" w:hAnsi="仿宋" w:eastAsia="仿宋" w:cs="仿宋"/>
          <w:color w:val="auto"/>
          <w:sz w:val="24"/>
          <w:szCs w:val="28"/>
          <w:highlight w:val="none"/>
        </w:rPr>
        <w:t>磋商地点：</w:t>
      </w:r>
      <w:r>
        <w:rPr>
          <w:rFonts w:hint="eastAsia" w:ascii="仿宋" w:hAnsi="仿宋" w:eastAsia="仿宋" w:cs="仿宋"/>
          <w:b/>
          <w:bCs/>
          <w:color w:val="auto"/>
          <w:kern w:val="2"/>
          <w:sz w:val="24"/>
          <w:szCs w:val="24"/>
          <w:highlight w:val="none"/>
          <w:u w:val="single"/>
          <w:lang w:val="en-US" w:eastAsia="zh-CN" w:bidi="ar-SA"/>
        </w:rPr>
        <w:t xml:space="preserve">乐山高新区迎宾大道20号高新区科技园4幢 </w:t>
      </w:r>
      <w:r>
        <w:rPr>
          <w:rFonts w:hint="eastAsia" w:ascii="仿宋" w:hAnsi="仿宋" w:eastAsia="仿宋" w:cs="仿宋"/>
          <w:color w:val="auto"/>
          <w:sz w:val="24"/>
          <w:szCs w:val="28"/>
          <w:highlight w:val="none"/>
        </w:rPr>
        <w:t>。</w:t>
      </w:r>
    </w:p>
    <w:p>
      <w:pPr>
        <w:pStyle w:val="55"/>
        <w:keepNext w:val="0"/>
        <w:keepLines w:val="0"/>
        <w:pageBreakBefore w:val="0"/>
        <w:widowControl w:val="0"/>
        <w:kinsoku/>
        <w:wordWrap/>
        <w:overflowPunct/>
        <w:topLinePunct w:val="0"/>
        <w:bidi w:val="0"/>
        <w:snapToGrid/>
        <w:spacing w:line="400" w:lineRule="exact"/>
        <w:ind w:firstLine="482"/>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eastAsia="zh-CN"/>
        </w:rPr>
        <w:t>一</w:t>
      </w:r>
      <w:r>
        <w:rPr>
          <w:rFonts w:hint="eastAsia" w:ascii="仿宋" w:hAnsi="仿宋" w:eastAsia="仿宋" w:cs="仿宋"/>
          <w:b/>
          <w:color w:val="auto"/>
          <w:sz w:val="24"/>
          <w:highlight w:val="none"/>
        </w:rPr>
        <w:t>、联系方式</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采 购 人：</w:t>
      </w:r>
      <w:r>
        <w:rPr>
          <w:rFonts w:hint="eastAsia" w:ascii="仿宋" w:hAnsi="仿宋" w:eastAsia="仿宋" w:cs="仿宋"/>
          <w:b/>
          <w:bCs/>
          <w:color w:val="auto"/>
          <w:sz w:val="24"/>
          <w:highlight w:val="none"/>
          <w:u w:val="none"/>
          <w:lang w:eastAsia="zh-CN"/>
        </w:rPr>
        <w:t>乐山市总工会</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rPr>
        <w:t>地    址：</w:t>
      </w:r>
      <w:r>
        <w:rPr>
          <w:rFonts w:hint="eastAsia" w:ascii="仿宋" w:hAnsi="仿宋" w:eastAsia="仿宋" w:cs="仿宋"/>
          <w:bCs/>
          <w:color w:val="auto"/>
          <w:sz w:val="24"/>
          <w:highlight w:val="none"/>
          <w:lang w:eastAsia="zh-CN"/>
        </w:rPr>
        <w:t>乐山市市中区县街2号5号</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梁老师</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：0833-2133438</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color w:val="auto"/>
          <w:sz w:val="24"/>
          <w:highlight w:val="none"/>
          <w:lang w:val="en-US" w:eastAsia="zh-CN"/>
        </w:rPr>
      </w:pP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b/>
          <w:color w:val="auto"/>
          <w:sz w:val="24"/>
          <w:highlight w:val="none"/>
          <w:u w:val="single"/>
          <w:lang w:eastAsia="zh-CN"/>
        </w:rPr>
      </w:pPr>
      <w:r>
        <w:rPr>
          <w:rFonts w:hint="eastAsia" w:ascii="仿宋" w:hAnsi="仿宋" w:eastAsia="仿宋" w:cs="仿宋"/>
          <w:b/>
          <w:color w:val="auto"/>
          <w:sz w:val="24"/>
          <w:highlight w:val="none"/>
        </w:rPr>
        <w:t>采购代理机构：</w:t>
      </w:r>
      <w:r>
        <w:rPr>
          <w:rFonts w:hint="eastAsia" w:ascii="仿宋" w:hAnsi="仿宋" w:eastAsia="仿宋" w:cs="仿宋"/>
          <w:b/>
          <w:bCs/>
          <w:color w:val="auto"/>
          <w:sz w:val="24"/>
          <w:highlight w:val="none"/>
          <w:u w:val="none"/>
          <w:lang w:eastAsia="zh-CN"/>
        </w:rPr>
        <w:t>四川茂沛工程项目管理有限公司</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乐山高新区迎宾大道20号高新区科技园4幢</w:t>
      </w:r>
    </w:p>
    <w:p>
      <w:pPr>
        <w:pStyle w:val="55"/>
        <w:keepNext w:val="0"/>
        <w:keepLines w:val="0"/>
        <w:pageBreakBefore w:val="0"/>
        <w:widowControl w:val="0"/>
        <w:kinsoku/>
        <w:wordWrap/>
        <w:overflowPunct/>
        <w:topLinePunct w:val="0"/>
        <w:bidi w:val="0"/>
        <w:snapToGrid/>
        <w:spacing w:line="400" w:lineRule="exact"/>
        <w:ind w:firstLine="1260" w:firstLineChars="525"/>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景先生</w:t>
      </w:r>
    </w:p>
    <w:p>
      <w:pPr>
        <w:pStyle w:val="55"/>
        <w:keepNext w:val="0"/>
        <w:keepLines w:val="0"/>
        <w:pageBreakBefore w:val="0"/>
        <w:widowControl w:val="0"/>
        <w:kinsoku/>
        <w:wordWrap/>
        <w:overflowPunct/>
        <w:topLinePunct w:val="0"/>
        <w:bidi w:val="0"/>
        <w:snapToGrid/>
        <w:spacing w:line="400" w:lineRule="exact"/>
        <w:ind w:firstLine="1200" w:firstLineChars="500"/>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18228370280</w:t>
      </w:r>
    </w:p>
    <w:p>
      <w:pPr>
        <w:pStyle w:val="18"/>
        <w:spacing w:before="0" w:beforeAutospacing="0" w:after="0" w:afterAutospacing="0" w:line="440" w:lineRule="exact"/>
        <w:jc w:val="center"/>
        <w:rPr>
          <w:rFonts w:hint="eastAsia" w:ascii="仿宋" w:hAnsi="仿宋" w:eastAsia="仿宋" w:cs="仿宋"/>
          <w:color w:val="auto"/>
          <w:sz w:val="32"/>
          <w:szCs w:val="32"/>
          <w:highlight w:val="none"/>
        </w:rPr>
      </w:pPr>
      <w:bookmarkStart w:id="4" w:name="_Toc217446031"/>
      <w:bookmarkStart w:id="5" w:name="_Toc213496267"/>
      <w:bookmarkStart w:id="6" w:name="_Toc213397009"/>
      <w:bookmarkStart w:id="7" w:name="_Toc213396945"/>
      <w:bookmarkStart w:id="8" w:name="_Toc213396759"/>
      <w:bookmarkStart w:id="9" w:name="_Toc29995"/>
      <w:r>
        <w:rPr>
          <w:rFonts w:hint="eastAsia" w:ascii="仿宋" w:hAnsi="仿宋" w:eastAsia="仿宋" w:cs="仿宋"/>
          <w:color w:val="auto"/>
          <w:sz w:val="32"/>
          <w:szCs w:val="32"/>
          <w:highlight w:val="none"/>
        </w:rPr>
        <w:br w:type="page"/>
      </w:r>
      <w:bookmarkStart w:id="10" w:name="_Toc10790"/>
      <w:r>
        <w:rPr>
          <w:rStyle w:val="62"/>
          <w:rFonts w:hint="eastAsia" w:ascii="仿宋" w:hAnsi="仿宋" w:eastAsia="仿宋" w:cs="仿宋"/>
          <w:color w:val="auto"/>
          <w:sz w:val="32"/>
          <w:szCs w:val="32"/>
          <w:highlight w:val="none"/>
        </w:rPr>
        <w:t>第二章  磋商须知</w:t>
      </w:r>
      <w:bookmarkEnd w:id="4"/>
      <w:bookmarkEnd w:id="5"/>
      <w:bookmarkEnd w:id="6"/>
      <w:bookmarkEnd w:id="7"/>
      <w:bookmarkEnd w:id="8"/>
      <w:bookmarkEnd w:id="9"/>
      <w:bookmarkEnd w:id="10"/>
    </w:p>
    <w:p>
      <w:pPr>
        <w:pStyle w:val="4"/>
        <w:keepNext w:val="0"/>
        <w:keepLines w:val="0"/>
        <w:spacing w:before="0" w:after="0"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一、供应商须知附表</w:t>
      </w:r>
    </w:p>
    <w:tbl>
      <w:tblPr>
        <w:tblStyle w:val="22"/>
        <w:tblW w:w="904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222"/>
        <w:gridCol w:w="581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outlineLvl w:val="2"/>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 xml:space="preserve">序号 </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outlineLvl w:val="2"/>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 xml:space="preserve">应知事项 </w:t>
            </w:r>
          </w:p>
        </w:tc>
        <w:tc>
          <w:tcPr>
            <w:tcW w:w="5814" w:type="dxa"/>
            <w:vAlign w:val="center"/>
          </w:tcPr>
          <w:p>
            <w:pPr>
              <w:pStyle w:val="58"/>
              <w:keepNext w:val="0"/>
              <w:keepLines w:val="0"/>
              <w:pageBreakBefore w:val="0"/>
              <w:widowControl w:val="0"/>
              <w:kinsoku/>
              <w:overflowPunct/>
              <w:topLinePunct w:val="0"/>
              <w:bidi w:val="0"/>
              <w:snapToGrid/>
              <w:spacing w:line="400" w:lineRule="exact"/>
              <w:jc w:val="center"/>
              <w:textAlignment w:val="auto"/>
              <w:outlineLvl w:val="2"/>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采购人</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乐山市总工会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采购代理机构</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四川茂沛工程项目管理有限公司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项目名称</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eastAsia="zh-CN"/>
              </w:rPr>
              <w:t>乐山市工人文化宫异地重建项目概念性方案设计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采购编号</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SCMP250101号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服务期限（实质性要求）</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合同签订后</w:t>
            </w:r>
            <w:r>
              <w:rPr>
                <w:rFonts w:hint="default" w:ascii="仿宋" w:hAnsi="仿宋" w:eastAsia="仿宋" w:cs="仿宋"/>
                <w:color w:val="auto"/>
                <w:kern w:val="2"/>
                <w:sz w:val="21"/>
                <w:szCs w:val="21"/>
                <w:highlight w:val="none"/>
                <w:lang w:val="en-US" w:eastAsia="zh-CN"/>
              </w:rPr>
              <w:t>30个日历天完成概念方案设计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采购方式</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7</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评分办法</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3"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8</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lang w:val="zh-CN"/>
              </w:rPr>
              <w:t>确定邀请磋商的供应商数量和方式</w:t>
            </w:r>
          </w:p>
        </w:tc>
        <w:tc>
          <w:tcPr>
            <w:tcW w:w="5814" w:type="dxa"/>
            <w:vAlign w:val="center"/>
          </w:tcPr>
          <w:p>
            <w:pPr>
              <w:pStyle w:val="58"/>
              <w:keepNext w:val="0"/>
              <w:keepLines w:val="0"/>
              <w:pageBreakBefore w:val="0"/>
              <w:widowControl w:val="0"/>
              <w:kinsoku/>
              <w:wordWrap w:val="0"/>
              <w:overflowPunct/>
              <w:topLinePunct w:val="0"/>
              <w:autoSpaceDE w:val="0"/>
              <w:autoSpaceDN w:val="0"/>
              <w:bidi w:val="0"/>
              <w:adjustRightInd w:val="0"/>
              <w:snapToGrid/>
              <w:spacing w:line="400" w:lineRule="exact"/>
              <w:ind w:left="210" w:leftChars="100"/>
              <w:jc w:val="both"/>
              <w:textAlignment w:val="auto"/>
              <w:outlineLvl w:val="2"/>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zh-CN"/>
              </w:rPr>
              <w:t>本次磋商邀请的供应商数量：</w:t>
            </w:r>
            <w:r>
              <w:rPr>
                <w:rFonts w:hint="eastAsia" w:ascii="仿宋" w:hAnsi="仿宋" w:eastAsia="仿宋" w:cs="仿宋"/>
                <w:color w:val="auto"/>
                <w:kern w:val="2"/>
                <w:sz w:val="21"/>
                <w:szCs w:val="21"/>
                <w:highlight w:val="none"/>
                <w:u w:val="single"/>
                <w:lang w:val="zh-CN"/>
              </w:rPr>
              <w:t>不少于</w:t>
            </w:r>
            <w:r>
              <w:rPr>
                <w:rFonts w:hint="eastAsia" w:ascii="仿宋" w:hAnsi="仿宋" w:eastAsia="仿宋" w:cs="仿宋"/>
                <w:color w:val="auto"/>
                <w:kern w:val="2"/>
                <w:sz w:val="21"/>
                <w:szCs w:val="21"/>
                <w:highlight w:val="none"/>
                <w:u w:val="single"/>
                <w:lang w:val="en-US" w:eastAsia="zh-CN"/>
              </w:rPr>
              <w:t>3</w:t>
            </w:r>
            <w:r>
              <w:rPr>
                <w:rFonts w:hint="eastAsia" w:ascii="仿宋" w:hAnsi="仿宋" w:eastAsia="仿宋" w:cs="仿宋"/>
                <w:color w:val="auto"/>
                <w:kern w:val="2"/>
                <w:sz w:val="21"/>
                <w:szCs w:val="21"/>
                <w:highlight w:val="none"/>
                <w:u w:val="single"/>
              </w:rPr>
              <w:t>家</w:t>
            </w:r>
            <w:r>
              <w:rPr>
                <w:rFonts w:hint="eastAsia" w:ascii="仿宋" w:hAnsi="仿宋" w:eastAsia="仿宋" w:cs="仿宋"/>
                <w:color w:val="auto"/>
                <w:kern w:val="2"/>
                <w:sz w:val="21"/>
                <w:szCs w:val="21"/>
                <w:highlight w:val="none"/>
                <w:u w:val="single"/>
                <w:lang w:val="en-US" w:eastAsia="zh-CN"/>
              </w:rPr>
              <w:t>；</w:t>
            </w:r>
            <w:r>
              <w:rPr>
                <w:rFonts w:hint="eastAsia" w:ascii="仿宋" w:hAnsi="仿宋" w:eastAsia="仿宋" w:cs="仿宋"/>
                <w:color w:val="auto"/>
                <w:kern w:val="2"/>
                <w:sz w:val="21"/>
                <w:szCs w:val="21"/>
                <w:highlight w:val="none"/>
              </w:rPr>
              <w:t>本次竞争性磋商邀请在</w:t>
            </w:r>
            <w:r>
              <w:rPr>
                <w:rFonts w:hint="eastAsia" w:ascii="仿宋" w:hAnsi="仿宋" w:eastAsia="仿宋" w:cs="仿宋"/>
                <w:bCs/>
                <w:color w:val="auto"/>
                <w:highlight w:val="none"/>
                <w:u w:val="single"/>
                <w:lang w:val="en-US" w:eastAsia="zh-CN"/>
              </w:rPr>
              <w:t>中国政府采购网（https://www.ccgp.gov.cn/）和</w:t>
            </w:r>
            <w:r>
              <w:rPr>
                <w:rFonts w:hint="eastAsia" w:ascii="仿宋" w:hAnsi="仿宋" w:eastAsia="仿宋" w:cs="仿宋"/>
                <w:color w:val="auto"/>
                <w:kern w:val="2"/>
                <w:sz w:val="21"/>
                <w:szCs w:val="21"/>
                <w:highlight w:val="none"/>
                <w:u w:val="single"/>
                <w:lang w:val="en-US" w:eastAsia="zh-CN"/>
              </w:rPr>
              <w:t>中国招标投标公共服务平台（http://www.cebpubservice.com/）</w:t>
            </w:r>
            <w:r>
              <w:rPr>
                <w:rFonts w:hint="eastAsia" w:ascii="仿宋" w:hAnsi="仿宋" w:eastAsia="仿宋" w:cs="仿宋"/>
                <w:color w:val="auto"/>
                <w:kern w:val="2"/>
                <w:sz w:val="21"/>
                <w:szCs w:val="21"/>
                <w:highlight w:val="none"/>
              </w:rPr>
              <w:t>上以公告形式发布</w:t>
            </w:r>
            <w:r>
              <w:rPr>
                <w:rFonts w:hint="eastAsia" w:ascii="仿宋" w:hAnsi="仿宋" w:eastAsia="仿宋" w:cs="仿宋"/>
                <w:color w:val="auto"/>
                <w:kern w:val="2"/>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9</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采购预算</w:t>
            </w:r>
          </w:p>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sz w:val="21"/>
                <w:szCs w:val="21"/>
                <w:highlight w:val="none"/>
              </w:rPr>
              <w:t>（实质性要求）</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firstLine="210" w:firstLineChars="1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本项目</w:t>
            </w:r>
            <w:r>
              <w:rPr>
                <w:rFonts w:hint="eastAsia" w:ascii="仿宋" w:hAnsi="仿宋" w:eastAsia="仿宋" w:cs="仿宋"/>
                <w:b/>
                <w:bCs/>
                <w:color w:val="auto"/>
                <w:sz w:val="21"/>
                <w:szCs w:val="21"/>
                <w:highlight w:val="none"/>
                <w:lang w:val="zh-CN"/>
              </w:rPr>
              <w:t>采购预算</w:t>
            </w:r>
            <w:r>
              <w:rPr>
                <w:rFonts w:hint="eastAsia" w:ascii="仿宋" w:hAnsi="仿宋" w:eastAsia="仿宋" w:cs="仿宋"/>
                <w:color w:val="auto"/>
                <w:sz w:val="21"/>
                <w:szCs w:val="21"/>
                <w:highlight w:val="none"/>
                <w:lang w:val="zh-CN"/>
              </w:rPr>
              <w:t>为：</w:t>
            </w:r>
            <w:r>
              <w:rPr>
                <w:rFonts w:hint="eastAsia" w:ascii="仿宋" w:hAnsi="仿宋" w:eastAsia="仿宋" w:cs="仿宋"/>
                <w:color w:val="auto"/>
                <w:sz w:val="21"/>
                <w:szCs w:val="21"/>
                <w:highlight w:val="none"/>
                <w:lang w:val="en-US" w:eastAsia="zh-CN"/>
              </w:rPr>
              <w:t>280000.00元</w:t>
            </w:r>
          </w:p>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zh-CN"/>
              </w:rPr>
              <w:t>投标报价超过本项目采购预算的作无效投标处理。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10</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最高限价</w:t>
            </w:r>
          </w:p>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b/>
                <w:color w:val="auto"/>
                <w:sz w:val="21"/>
                <w:szCs w:val="21"/>
                <w:highlight w:val="none"/>
              </w:rPr>
              <w:t>（实质性要求）</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firstLine="210" w:firstLineChars="10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本项目</w:t>
            </w:r>
            <w:r>
              <w:rPr>
                <w:rFonts w:hint="eastAsia" w:ascii="仿宋" w:hAnsi="仿宋" w:eastAsia="仿宋" w:cs="仿宋"/>
                <w:b/>
                <w:bCs/>
                <w:color w:val="auto"/>
                <w:sz w:val="21"/>
                <w:szCs w:val="21"/>
                <w:highlight w:val="none"/>
                <w:lang w:val="zh-CN"/>
              </w:rPr>
              <w:t>最高限价</w:t>
            </w:r>
            <w:r>
              <w:rPr>
                <w:rFonts w:hint="eastAsia" w:ascii="仿宋" w:hAnsi="仿宋" w:eastAsia="仿宋" w:cs="仿宋"/>
                <w:b w:val="0"/>
                <w:bCs w:val="0"/>
                <w:color w:val="auto"/>
                <w:sz w:val="21"/>
                <w:szCs w:val="21"/>
                <w:highlight w:val="none"/>
                <w:lang w:val="zh-CN"/>
              </w:rPr>
              <w:t>为</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280000.00元</w:t>
            </w:r>
          </w:p>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投标报价超过本项目最高限价的作无效投标处理。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11</w:t>
            </w:r>
          </w:p>
        </w:tc>
        <w:tc>
          <w:tcPr>
            <w:tcW w:w="2222" w:type="dxa"/>
            <w:vAlign w:val="center"/>
          </w:tcPr>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低于成本价不正当</w:t>
            </w:r>
          </w:p>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竞争预防措施</w:t>
            </w:r>
          </w:p>
          <w:p>
            <w:pPr>
              <w:pStyle w:val="58"/>
              <w:keepNext w:val="0"/>
              <w:keepLines w:val="0"/>
              <w:pageBreakBefore w:val="0"/>
              <w:widowControl w:val="0"/>
              <w:kinsoku/>
              <w:overflowPunct/>
              <w:topLinePunct w:val="0"/>
              <w:bidi w:val="0"/>
              <w:snapToGrid/>
              <w:spacing w:line="400" w:lineRule="exact"/>
              <w:ind w:left="38"/>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b/>
                <w:color w:val="auto"/>
                <w:sz w:val="21"/>
                <w:szCs w:val="21"/>
                <w:highlight w:val="none"/>
              </w:rPr>
              <w:t>（实质性要求）</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评标过程中，评标委员会认为供应商的报价明显低于其他有效供应商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供应商书面说明应当签字确认或者加盖公章，否则无效。书面说明的签字确认，供应商为法人的，由其法定代表人/单位负责人或者代理人签字确认；供应商为其他组织的，由其主要负责人或者代理人签字确认。</w:t>
            </w:r>
          </w:p>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12</w:t>
            </w:r>
          </w:p>
        </w:tc>
        <w:tc>
          <w:tcPr>
            <w:tcW w:w="2222" w:type="dxa"/>
            <w:vAlign w:val="center"/>
          </w:tcPr>
          <w:p>
            <w:pPr>
              <w:keepNext w:val="0"/>
              <w:keepLines w:val="0"/>
              <w:pageBreakBefore w:val="0"/>
              <w:widowControl w:val="0"/>
              <w:kinsoku/>
              <w:overflowPunct/>
              <w:topLinePunct w:val="0"/>
              <w:bidi w:val="0"/>
              <w:snapToGrid/>
              <w:spacing w:line="400" w:lineRule="exact"/>
              <w:ind w:left="105" w:leftChars="50" w:right="105" w:rightChars="50"/>
              <w:jc w:val="center"/>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sz w:val="21"/>
                <w:szCs w:val="21"/>
                <w:highlight w:val="none"/>
                <w:lang w:val="zh-CN"/>
              </w:rPr>
              <w:t>磋商保证金</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本项目不收取。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13</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b/>
                <w:color w:val="auto"/>
                <w:kern w:val="0"/>
                <w:szCs w:val="21"/>
                <w:highlight w:val="none"/>
              </w:rPr>
            </w:pPr>
            <w:r>
              <w:rPr>
                <w:rFonts w:hint="eastAsia" w:ascii="仿宋" w:hAnsi="仿宋" w:eastAsia="仿宋" w:cs="仿宋"/>
                <w:color w:val="auto"/>
                <w:sz w:val="21"/>
                <w:szCs w:val="21"/>
                <w:highlight w:val="none"/>
                <w:lang w:val="zh-CN"/>
              </w:rPr>
              <w:t>履约保证金</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firstLine="420" w:firstLineChars="200"/>
              <w:jc w:val="both"/>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履约保证金按成交价的5%收取，成交人应当在签订合同前向采购人缴纳履约保证金。履约保证金以现金银行转账形式缴纳。履约保证金在合同全部履约完成并达到退还条件后无息退还。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14</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b/>
                <w:color w:val="auto"/>
                <w:sz w:val="21"/>
                <w:szCs w:val="21"/>
                <w:highlight w:val="none"/>
                <w:lang w:val="zh-CN"/>
              </w:rPr>
            </w:pPr>
            <w:r>
              <w:rPr>
                <w:rFonts w:hint="eastAsia" w:ascii="仿宋" w:hAnsi="仿宋" w:eastAsia="仿宋" w:cs="仿宋"/>
                <w:color w:val="auto"/>
                <w:sz w:val="21"/>
                <w:szCs w:val="21"/>
                <w:highlight w:val="none"/>
                <w:lang w:val="zh-CN"/>
              </w:rPr>
              <w:t>联合体投标</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15</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递交响应文件截止时间和磋商时间</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20</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14：0</w:t>
            </w:r>
            <w:r>
              <w:rPr>
                <w:rFonts w:hint="eastAsia" w:ascii="仿宋" w:hAnsi="仿宋" w:eastAsia="仿宋" w:cs="仿宋"/>
                <w:color w:val="auto"/>
                <w:sz w:val="21"/>
                <w:szCs w:val="21"/>
                <w:highlight w:val="none"/>
              </w:rPr>
              <w:t>0分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16</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磋商有效期</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递交响应文件</w:t>
            </w:r>
            <w:r>
              <w:rPr>
                <w:rFonts w:hint="eastAsia" w:ascii="仿宋" w:hAnsi="仿宋" w:eastAsia="仿宋" w:cs="仿宋"/>
                <w:color w:val="auto"/>
                <w:sz w:val="21"/>
                <w:szCs w:val="21"/>
                <w:highlight w:val="none"/>
              </w:rPr>
              <w:t>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17</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响应文件份数</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正本</w:t>
            </w:r>
            <w:r>
              <w:rPr>
                <w:rFonts w:hint="eastAsia" w:ascii="仿宋" w:hAnsi="仿宋" w:eastAsia="仿宋" w:cs="仿宋"/>
                <w:color w:val="auto"/>
                <w:sz w:val="21"/>
                <w:szCs w:val="21"/>
                <w:highlight w:val="none"/>
                <w:u w:val="single"/>
              </w:rPr>
              <w:t>1</w:t>
            </w:r>
            <w:r>
              <w:rPr>
                <w:rFonts w:hint="eastAsia" w:ascii="仿宋" w:hAnsi="仿宋" w:eastAsia="仿宋" w:cs="仿宋"/>
                <w:color w:val="auto"/>
                <w:sz w:val="21"/>
                <w:szCs w:val="21"/>
                <w:highlight w:val="none"/>
              </w:rPr>
              <w:t>份、副本</w:t>
            </w:r>
            <w:r>
              <w:rPr>
                <w:rFonts w:hint="eastAsia" w:ascii="仿宋" w:hAnsi="仿宋" w:eastAsia="仿宋" w:cs="仿宋"/>
                <w:color w:val="auto"/>
                <w:sz w:val="21"/>
                <w:szCs w:val="21"/>
                <w:highlight w:val="none"/>
                <w:u w:val="single"/>
              </w:rPr>
              <w:t>2</w:t>
            </w:r>
            <w:r>
              <w:rPr>
                <w:rFonts w:hint="eastAsia" w:ascii="仿宋" w:hAnsi="仿宋" w:eastAsia="仿宋" w:cs="仿宋"/>
                <w:color w:val="auto"/>
                <w:sz w:val="21"/>
                <w:szCs w:val="21"/>
                <w:highlight w:val="none"/>
              </w:rPr>
              <w:t>份，电子文档（U盘）</w:t>
            </w:r>
            <w:r>
              <w:rPr>
                <w:rFonts w:hint="eastAsia" w:ascii="仿宋" w:hAnsi="仿宋" w:eastAsia="仿宋" w:cs="仿宋"/>
                <w:color w:val="auto"/>
                <w:sz w:val="21"/>
                <w:szCs w:val="21"/>
                <w:highlight w:val="none"/>
                <w:u w:val="single"/>
              </w:rPr>
              <w:t>1</w:t>
            </w:r>
            <w:r>
              <w:rPr>
                <w:rFonts w:hint="eastAsia" w:ascii="仿宋" w:hAnsi="仿宋" w:eastAsia="仿宋" w:cs="仿宋"/>
                <w:color w:val="auto"/>
                <w:sz w:val="21"/>
                <w:szCs w:val="21"/>
                <w:highlight w:val="none"/>
              </w:rPr>
              <w:t>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18</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b w:val="0"/>
                <w:bCs w:val="0"/>
                <w:color w:val="auto"/>
                <w:kern w:val="2"/>
                <w:sz w:val="21"/>
                <w:szCs w:val="21"/>
                <w:highlight w:val="none"/>
              </w:rPr>
              <w:t>采购项目具体事项/采购文件内容咨询</w:t>
            </w:r>
          </w:p>
        </w:tc>
        <w:tc>
          <w:tcPr>
            <w:tcW w:w="5814" w:type="dxa"/>
            <w:vAlign w:val="center"/>
          </w:tcPr>
          <w:p>
            <w:pPr>
              <w:keepNext w:val="0"/>
              <w:keepLines w:val="0"/>
              <w:pageBreakBefore w:val="0"/>
              <w:widowControl w:val="0"/>
              <w:kinsoku/>
              <w:wordWrap/>
              <w:overflowPunct/>
              <w:topLinePunct w:val="0"/>
              <w:bidi w:val="0"/>
              <w:snapToGrid/>
              <w:spacing w:line="400" w:lineRule="exact"/>
              <w:ind w:left="210" w:left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lang w:val="en-US" w:eastAsia="zh-CN"/>
              </w:rPr>
              <w:t>景先生</w:t>
            </w:r>
            <w:r>
              <w:rPr>
                <w:rFonts w:hint="eastAsia" w:ascii="仿宋" w:hAnsi="仿宋" w:eastAsia="仿宋" w:cs="仿宋"/>
                <w:color w:val="auto"/>
                <w:szCs w:val="21"/>
                <w:highlight w:val="none"/>
              </w:rPr>
              <w:t>。       联系电话：</w:t>
            </w:r>
            <w:r>
              <w:rPr>
                <w:rFonts w:hint="eastAsia" w:ascii="仿宋" w:hAnsi="仿宋" w:eastAsia="仿宋" w:cs="仿宋"/>
                <w:color w:val="auto"/>
                <w:szCs w:val="21"/>
                <w:highlight w:val="none"/>
                <w:lang w:eastAsia="zh-CN"/>
              </w:rPr>
              <w:t>18228370280</w:t>
            </w:r>
            <w:r>
              <w:rPr>
                <w:rFonts w:hint="eastAsia" w:ascii="仿宋" w:hAnsi="仿宋" w:eastAsia="仿宋" w:cs="仿宋"/>
                <w:color w:val="auto"/>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19</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磋商过程、结果工作咨询</w:t>
            </w:r>
          </w:p>
        </w:tc>
        <w:tc>
          <w:tcPr>
            <w:tcW w:w="5814" w:type="dxa"/>
            <w:vAlign w:val="center"/>
          </w:tcPr>
          <w:p>
            <w:pPr>
              <w:keepNext w:val="0"/>
              <w:keepLines w:val="0"/>
              <w:pageBreakBefore w:val="0"/>
              <w:widowControl w:val="0"/>
              <w:kinsoku/>
              <w:wordWrap/>
              <w:overflowPunct/>
              <w:topLinePunct w:val="0"/>
              <w:bidi w:val="0"/>
              <w:snapToGrid/>
              <w:spacing w:line="400" w:lineRule="exact"/>
              <w:ind w:left="210" w:left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lang w:val="en-US" w:eastAsia="zh-CN"/>
              </w:rPr>
              <w:t>景先生</w:t>
            </w:r>
            <w:r>
              <w:rPr>
                <w:rFonts w:hint="eastAsia" w:ascii="仿宋" w:hAnsi="仿宋" w:eastAsia="仿宋" w:cs="仿宋"/>
                <w:color w:val="auto"/>
                <w:szCs w:val="21"/>
                <w:highlight w:val="none"/>
              </w:rPr>
              <w:t>。       联系电话：</w:t>
            </w:r>
            <w:r>
              <w:rPr>
                <w:rFonts w:hint="eastAsia" w:ascii="仿宋" w:hAnsi="仿宋" w:eastAsia="仿宋" w:cs="仿宋"/>
                <w:color w:val="auto"/>
                <w:szCs w:val="21"/>
                <w:highlight w:val="none"/>
                <w:lang w:eastAsia="zh-CN"/>
              </w:rPr>
              <w:t>18228370280</w:t>
            </w:r>
            <w:r>
              <w:rPr>
                <w:rFonts w:hint="eastAsia" w:ascii="仿宋" w:hAnsi="仿宋" w:eastAsia="仿宋" w:cs="仿宋"/>
                <w:color w:val="auto"/>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20</w:t>
            </w:r>
          </w:p>
        </w:tc>
        <w:tc>
          <w:tcPr>
            <w:tcW w:w="2222" w:type="dxa"/>
            <w:vAlign w:val="center"/>
          </w:tcPr>
          <w:p>
            <w:pPr>
              <w:keepNext w:val="0"/>
              <w:keepLines w:val="0"/>
              <w:pageBreakBefore w:val="0"/>
              <w:widowControl w:val="0"/>
              <w:kinsoku/>
              <w:overflowPunct/>
              <w:topLinePunct w:val="0"/>
              <w:bidi w:val="0"/>
              <w:snapToGrid/>
              <w:spacing w:line="400" w:lineRule="exact"/>
              <w:ind w:left="105" w:leftChars="50" w:right="105" w:rightChars="50"/>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szCs w:val="21"/>
                <w:highlight w:val="none"/>
              </w:rPr>
              <w:t>成交通知书领取</w:t>
            </w:r>
          </w:p>
        </w:tc>
        <w:tc>
          <w:tcPr>
            <w:tcW w:w="5814" w:type="dxa"/>
            <w:vAlign w:val="center"/>
          </w:tcPr>
          <w:p>
            <w:pPr>
              <w:keepNext w:val="0"/>
              <w:keepLines w:val="0"/>
              <w:pageBreakBefore w:val="0"/>
              <w:widowControl w:val="0"/>
              <w:tabs>
                <w:tab w:val="left" w:pos="7665"/>
              </w:tabs>
              <w:kinsoku/>
              <w:wordWrap w:val="0"/>
              <w:overflowPunct/>
              <w:topLinePunct w:val="0"/>
              <w:autoSpaceDE/>
              <w:autoSpaceDN/>
              <w:bidi w:val="0"/>
              <w:adjustRightInd/>
              <w:snapToGrid/>
              <w:spacing w:line="400" w:lineRule="exact"/>
              <w:ind w:left="210" w:leftChars="1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采购结果公告在</w:t>
            </w:r>
            <w:r>
              <w:rPr>
                <w:rFonts w:hint="eastAsia" w:ascii="仿宋" w:hAnsi="仿宋" w:eastAsia="仿宋" w:cs="仿宋"/>
                <w:bCs/>
                <w:color w:val="auto"/>
                <w:highlight w:val="none"/>
                <w:u w:val="single"/>
                <w:lang w:val="en-US" w:eastAsia="zh-CN"/>
              </w:rPr>
              <w:t>中国政府采购网（https://www.ccgp.gov.cn/）和</w:t>
            </w:r>
            <w:r>
              <w:rPr>
                <w:rFonts w:hint="eastAsia" w:ascii="仿宋" w:hAnsi="仿宋" w:eastAsia="仿宋" w:cs="仿宋"/>
                <w:color w:val="auto"/>
                <w:kern w:val="2"/>
                <w:sz w:val="21"/>
                <w:szCs w:val="21"/>
                <w:highlight w:val="none"/>
                <w:u w:val="single"/>
                <w:lang w:val="en-US" w:eastAsia="zh-CN"/>
              </w:rPr>
              <w:t>中国招标投标公共服务平台（http://www.cebpubservice.com/）</w:t>
            </w:r>
            <w:r>
              <w:rPr>
                <w:rFonts w:hint="eastAsia" w:ascii="仿宋" w:hAnsi="仿宋" w:eastAsia="仿宋" w:cs="仿宋"/>
                <w:color w:val="auto"/>
                <w:szCs w:val="21"/>
                <w:highlight w:val="none"/>
              </w:rPr>
              <w:t>上公告后，请</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供应商凭有效身份证明证件到</w:t>
            </w:r>
            <w:r>
              <w:rPr>
                <w:rFonts w:hint="eastAsia" w:ascii="仿宋" w:hAnsi="仿宋" w:eastAsia="仿宋" w:cs="仿宋"/>
                <w:color w:val="auto"/>
                <w:szCs w:val="21"/>
                <w:highlight w:val="none"/>
                <w:lang w:val="zh-CN"/>
              </w:rPr>
              <w:t>采购代理机构</w:t>
            </w:r>
            <w:r>
              <w:rPr>
                <w:rFonts w:hint="eastAsia" w:ascii="仿宋" w:hAnsi="仿宋" w:eastAsia="仿宋" w:cs="仿宋"/>
                <w:color w:val="auto"/>
                <w:szCs w:val="21"/>
                <w:highlight w:val="none"/>
              </w:rPr>
              <w:t>领取成交通知书。</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联系人：</w:t>
            </w:r>
            <w:r>
              <w:rPr>
                <w:rFonts w:hint="eastAsia" w:ascii="仿宋" w:hAnsi="仿宋" w:eastAsia="仿宋" w:cs="仿宋"/>
                <w:color w:val="auto"/>
                <w:szCs w:val="21"/>
                <w:highlight w:val="none"/>
                <w:u w:val="single"/>
                <w:lang w:val="zh-CN"/>
              </w:rPr>
              <w:t>景先生</w:t>
            </w:r>
            <w:r>
              <w:rPr>
                <w:rFonts w:hint="eastAsia" w:ascii="仿宋" w:hAnsi="仿宋" w:eastAsia="仿宋" w:cs="仿宋"/>
                <w:color w:val="auto"/>
                <w:szCs w:val="21"/>
                <w:highlight w:val="none"/>
                <w:lang w:val="zh-CN"/>
              </w:rPr>
              <w:t>。</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联系电话：18228370280</w:t>
            </w:r>
            <w:r>
              <w:rPr>
                <w:rFonts w:hint="eastAsia" w:ascii="仿宋" w:hAnsi="仿宋" w:eastAsia="仿宋" w:cs="仿宋"/>
                <w:color w:val="auto"/>
                <w:szCs w:val="21"/>
                <w:highlight w:val="none"/>
              </w:rPr>
              <w:t>。</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地址：乐山高新区迎宾大道20号高新区科技园4幢。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21</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供应商询问</w:t>
            </w:r>
          </w:p>
        </w:tc>
        <w:tc>
          <w:tcPr>
            <w:tcW w:w="5814" w:type="dxa"/>
            <w:vAlign w:val="top"/>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color w:val="auto"/>
                <w:szCs w:val="21"/>
                <w:highlight w:val="none"/>
              </w:rPr>
              <w:t>根据委托代理协议约定，供应商询问竞争性</w:t>
            </w: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文件中的资格性要求、采购需求、服务要求、评分标准等采购需求由采购人负责受理</w:t>
            </w:r>
            <w:r>
              <w:rPr>
                <w:rFonts w:hint="eastAsia" w:ascii="仿宋" w:hAnsi="仿宋" w:eastAsia="仿宋" w:cs="仿宋"/>
                <w:b w:val="0"/>
                <w:bCs w:val="0"/>
                <w:color w:val="auto"/>
                <w:szCs w:val="21"/>
                <w:highlight w:val="none"/>
              </w:rPr>
              <w:t>和答复</w:t>
            </w:r>
            <w:r>
              <w:rPr>
                <w:rFonts w:hint="eastAsia" w:ascii="仿宋" w:hAnsi="仿宋" w:eastAsia="仿宋" w:cs="仿宋"/>
                <w:b w:val="0"/>
                <w:bCs w:val="0"/>
                <w:color w:val="auto"/>
                <w:szCs w:val="21"/>
                <w:highlight w:val="none"/>
                <w:lang w:val="zh-CN"/>
              </w:rPr>
              <w:t>。供应商询问竞争性</w:t>
            </w:r>
            <w:r>
              <w:rPr>
                <w:rFonts w:hint="eastAsia" w:ascii="仿宋" w:hAnsi="仿宋" w:eastAsia="仿宋" w:cs="仿宋"/>
                <w:b w:val="0"/>
                <w:bCs w:val="0"/>
                <w:color w:val="auto"/>
                <w:szCs w:val="21"/>
                <w:highlight w:val="none"/>
                <w:lang w:val="en-US" w:eastAsia="zh-CN"/>
              </w:rPr>
              <w:t>磋商</w:t>
            </w:r>
            <w:r>
              <w:rPr>
                <w:rFonts w:hint="eastAsia" w:ascii="仿宋" w:hAnsi="仿宋" w:eastAsia="仿宋" w:cs="仿宋"/>
                <w:b w:val="0"/>
                <w:bCs w:val="0"/>
                <w:color w:val="auto"/>
                <w:szCs w:val="21"/>
                <w:highlight w:val="none"/>
                <w:lang w:val="zh-CN"/>
              </w:rPr>
              <w:t>文件</w:t>
            </w:r>
            <w:r>
              <w:rPr>
                <w:rFonts w:hint="eastAsia" w:ascii="仿宋" w:hAnsi="仿宋" w:eastAsia="仿宋" w:cs="仿宋"/>
                <w:b w:val="0"/>
                <w:bCs w:val="0"/>
                <w:color w:val="auto"/>
                <w:szCs w:val="21"/>
                <w:highlight w:val="none"/>
                <w:lang w:val="en-US" w:eastAsia="zh-CN"/>
              </w:rPr>
              <w:t xml:space="preserve">  </w:t>
            </w:r>
            <w:r>
              <w:rPr>
                <w:rFonts w:hint="eastAsia" w:ascii="仿宋" w:hAnsi="仿宋" w:eastAsia="仿宋" w:cs="仿宋"/>
                <w:b w:val="0"/>
                <w:bCs w:val="0"/>
                <w:color w:val="auto"/>
                <w:szCs w:val="21"/>
                <w:highlight w:val="none"/>
                <w:lang w:val="zh-CN"/>
              </w:rPr>
              <w:t>中的其他内容以及采购过程、采购结果由采购代理机构负责受理和答复。</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b w:val="0"/>
                <w:bCs w:val="0"/>
                <w:color w:val="auto"/>
                <w:szCs w:val="21"/>
                <w:highlight w:val="none"/>
                <w:lang w:val="zh-CN"/>
              </w:rPr>
              <w:t>联系人：</w:t>
            </w:r>
            <w:r>
              <w:rPr>
                <w:rFonts w:hint="eastAsia" w:ascii="仿宋" w:hAnsi="仿宋" w:eastAsia="仿宋" w:cs="仿宋"/>
                <w:b w:val="0"/>
                <w:bCs w:val="0"/>
                <w:color w:val="auto"/>
                <w:szCs w:val="21"/>
                <w:highlight w:val="none"/>
                <w:u w:val="single"/>
                <w:lang w:eastAsia="zh-CN"/>
              </w:rPr>
              <w:t>景先生</w:t>
            </w:r>
            <w:r>
              <w:rPr>
                <w:rFonts w:hint="eastAsia" w:ascii="仿宋" w:hAnsi="仿宋" w:eastAsia="仿宋" w:cs="仿宋"/>
                <w:b w:val="0"/>
                <w:bCs w:val="0"/>
                <w:color w:val="auto"/>
                <w:szCs w:val="21"/>
                <w:highlight w:val="none"/>
                <w:lang w:val="zh-CN"/>
              </w:rPr>
              <w:t>。</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b w:val="0"/>
                <w:bCs w:val="0"/>
                <w:color w:val="auto"/>
                <w:szCs w:val="21"/>
                <w:highlight w:val="none"/>
                <w:lang w:val="zh-CN"/>
              </w:rPr>
              <w:t>联系电话：18228370280。</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地址：乐山高新区迎宾大道20号高新区科技园4幢。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22</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kern w:val="2"/>
                <w:sz w:val="21"/>
                <w:szCs w:val="21"/>
                <w:highlight w:val="none"/>
              </w:rPr>
              <w:t>供应商质疑</w:t>
            </w:r>
          </w:p>
        </w:tc>
        <w:tc>
          <w:tcPr>
            <w:tcW w:w="5814" w:type="dxa"/>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color w:val="auto"/>
                <w:szCs w:val="21"/>
                <w:highlight w:val="none"/>
              </w:rPr>
              <w:t>根据委托代理协议约定，供应商</w:t>
            </w:r>
            <w:r>
              <w:rPr>
                <w:rFonts w:hint="eastAsia" w:ascii="仿宋" w:hAnsi="仿宋" w:eastAsia="仿宋" w:cs="仿宋"/>
                <w:color w:val="auto"/>
                <w:szCs w:val="21"/>
                <w:highlight w:val="none"/>
                <w:lang w:val="en-US" w:eastAsia="zh-CN"/>
              </w:rPr>
              <w:t>质疑</w:t>
            </w:r>
            <w:r>
              <w:rPr>
                <w:rFonts w:hint="eastAsia" w:ascii="仿宋" w:hAnsi="仿宋" w:eastAsia="仿宋" w:cs="仿宋"/>
                <w:color w:val="auto"/>
                <w:szCs w:val="21"/>
                <w:highlight w:val="none"/>
              </w:rPr>
              <w:t>竞争性</w:t>
            </w: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文件中的资格性要求、采购需求、服务要求、评分标准等采购需求由采购人负责受理和答</w:t>
            </w:r>
            <w:r>
              <w:rPr>
                <w:rFonts w:hint="eastAsia" w:ascii="仿宋" w:hAnsi="仿宋" w:eastAsia="仿宋" w:cs="仿宋"/>
                <w:b w:val="0"/>
                <w:bCs w:val="0"/>
                <w:color w:val="auto"/>
                <w:szCs w:val="21"/>
                <w:highlight w:val="none"/>
              </w:rPr>
              <w:t>复</w:t>
            </w:r>
            <w:r>
              <w:rPr>
                <w:rFonts w:hint="eastAsia" w:ascii="仿宋" w:hAnsi="仿宋" w:eastAsia="仿宋" w:cs="仿宋"/>
                <w:b w:val="0"/>
                <w:bCs w:val="0"/>
                <w:color w:val="auto"/>
                <w:szCs w:val="21"/>
                <w:highlight w:val="none"/>
                <w:lang w:val="zh-CN"/>
              </w:rPr>
              <w:t>。供应商</w:t>
            </w:r>
            <w:r>
              <w:rPr>
                <w:rFonts w:hint="eastAsia" w:ascii="仿宋" w:hAnsi="仿宋" w:eastAsia="仿宋" w:cs="仿宋"/>
                <w:b w:val="0"/>
                <w:bCs w:val="0"/>
                <w:color w:val="auto"/>
                <w:szCs w:val="21"/>
                <w:highlight w:val="none"/>
                <w:lang w:val="en-US" w:eastAsia="zh-CN"/>
              </w:rPr>
              <w:t>质疑</w:t>
            </w:r>
            <w:r>
              <w:rPr>
                <w:rFonts w:hint="eastAsia" w:ascii="仿宋" w:hAnsi="仿宋" w:eastAsia="仿宋" w:cs="仿宋"/>
                <w:b w:val="0"/>
                <w:bCs w:val="0"/>
                <w:color w:val="auto"/>
                <w:szCs w:val="21"/>
                <w:highlight w:val="none"/>
                <w:lang w:val="zh-CN"/>
              </w:rPr>
              <w:t>竞争性</w:t>
            </w:r>
            <w:r>
              <w:rPr>
                <w:rFonts w:hint="eastAsia" w:ascii="仿宋" w:hAnsi="仿宋" w:eastAsia="仿宋" w:cs="仿宋"/>
                <w:b w:val="0"/>
                <w:bCs w:val="0"/>
                <w:color w:val="auto"/>
                <w:szCs w:val="21"/>
                <w:highlight w:val="none"/>
                <w:lang w:val="en-US" w:eastAsia="zh-CN"/>
              </w:rPr>
              <w:t>磋商</w:t>
            </w:r>
            <w:r>
              <w:rPr>
                <w:rFonts w:hint="eastAsia" w:ascii="仿宋" w:hAnsi="仿宋" w:eastAsia="仿宋" w:cs="仿宋"/>
                <w:b w:val="0"/>
                <w:bCs w:val="0"/>
                <w:color w:val="auto"/>
                <w:szCs w:val="21"/>
                <w:highlight w:val="none"/>
                <w:lang w:val="zh-CN"/>
              </w:rPr>
              <w:t>文件中的其他内容以及采购过程、采购结果由采购代理机构负责受理和答复。</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b w:val="0"/>
                <w:bCs w:val="0"/>
                <w:color w:val="auto"/>
                <w:szCs w:val="21"/>
                <w:highlight w:val="none"/>
                <w:lang w:val="zh-CN"/>
              </w:rPr>
              <w:t>联系人：</w:t>
            </w:r>
            <w:r>
              <w:rPr>
                <w:rFonts w:hint="eastAsia" w:ascii="仿宋" w:hAnsi="仿宋" w:eastAsia="仿宋" w:cs="仿宋"/>
                <w:b w:val="0"/>
                <w:bCs w:val="0"/>
                <w:color w:val="auto"/>
                <w:szCs w:val="21"/>
                <w:highlight w:val="none"/>
                <w:u w:val="single"/>
                <w:lang w:eastAsia="zh-CN"/>
              </w:rPr>
              <w:t>景先生</w:t>
            </w:r>
            <w:r>
              <w:rPr>
                <w:rFonts w:hint="eastAsia" w:ascii="仿宋" w:hAnsi="仿宋" w:eastAsia="仿宋" w:cs="仿宋"/>
                <w:b w:val="0"/>
                <w:bCs w:val="0"/>
                <w:color w:val="auto"/>
                <w:szCs w:val="21"/>
                <w:highlight w:val="none"/>
                <w:lang w:val="zh-CN"/>
              </w:rPr>
              <w:t>。</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b w:val="0"/>
                <w:bCs w:val="0"/>
                <w:color w:val="auto"/>
                <w:szCs w:val="21"/>
                <w:highlight w:val="none"/>
                <w:lang w:val="zh-CN"/>
              </w:rPr>
            </w:pPr>
            <w:r>
              <w:rPr>
                <w:rFonts w:hint="eastAsia" w:ascii="仿宋" w:hAnsi="仿宋" w:eastAsia="仿宋" w:cs="仿宋"/>
                <w:b w:val="0"/>
                <w:bCs w:val="0"/>
                <w:color w:val="auto"/>
                <w:szCs w:val="21"/>
                <w:highlight w:val="none"/>
                <w:lang w:val="zh-CN"/>
              </w:rPr>
              <w:t>联系电话：18228370280。</w:t>
            </w:r>
          </w:p>
          <w:p>
            <w:pPr>
              <w:keepNext w:val="0"/>
              <w:keepLines w:val="0"/>
              <w:pageBreakBefore w:val="0"/>
              <w:widowControl w:val="0"/>
              <w:kinsoku/>
              <w:wordWrap/>
              <w:overflowPunct/>
              <w:topLinePunct w:val="0"/>
              <w:bidi w:val="0"/>
              <w:snapToGrid/>
              <w:spacing w:line="400" w:lineRule="exact"/>
              <w:ind w:left="210" w:leftChars="100" w:right="105" w:rightChars="50"/>
              <w:jc w:val="left"/>
              <w:textAlignment w:val="auto"/>
              <w:rPr>
                <w:rFonts w:hint="eastAsia" w:ascii="仿宋" w:hAnsi="仿宋" w:eastAsia="仿宋" w:cs="仿宋"/>
                <w:color w:val="auto"/>
                <w:szCs w:val="21"/>
                <w:highlight w:val="none"/>
                <w:lang w:val="zh-CN"/>
              </w:rPr>
            </w:pPr>
            <w:r>
              <w:rPr>
                <w:rFonts w:hint="eastAsia" w:ascii="仿宋" w:hAnsi="仿宋" w:eastAsia="仿宋" w:cs="仿宋"/>
                <w:b w:val="0"/>
                <w:bCs w:val="0"/>
                <w:color w:val="auto"/>
                <w:szCs w:val="21"/>
                <w:highlight w:val="none"/>
                <w:lang w:val="zh-CN"/>
              </w:rPr>
              <w:t>地址：乐山高新区迎宾大道20号高新</w:t>
            </w:r>
            <w:r>
              <w:rPr>
                <w:rFonts w:hint="eastAsia" w:ascii="仿宋" w:hAnsi="仿宋" w:eastAsia="仿宋" w:cs="仿宋"/>
                <w:color w:val="auto"/>
                <w:szCs w:val="21"/>
                <w:highlight w:val="none"/>
                <w:lang w:val="zh-CN"/>
              </w:rPr>
              <w:t>区科技园4幢。</w:t>
            </w:r>
          </w:p>
          <w:p>
            <w:pPr>
              <w:keepNext w:val="0"/>
              <w:keepLines w:val="0"/>
              <w:pageBreakBefore w:val="0"/>
              <w:widowControl w:val="0"/>
              <w:kinsoku/>
              <w:wordWrap/>
              <w:overflowPunct/>
              <w:topLinePunct w:val="0"/>
              <w:bidi w:val="0"/>
              <w:snapToGrid/>
              <w:spacing w:line="400" w:lineRule="exact"/>
              <w:ind w:left="210" w:leftChars="100" w:right="105" w:rightChars="50"/>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Cs w:val="21"/>
                <w:highlight w:val="none"/>
                <w:lang w:val="zh-CN"/>
              </w:rPr>
              <w:t>注：供应商质疑不得超出采购文件、采购过程、采购结果的范围。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23</w:t>
            </w:r>
          </w:p>
        </w:tc>
        <w:tc>
          <w:tcPr>
            <w:tcW w:w="2222" w:type="dxa"/>
            <w:vAlign w:val="center"/>
          </w:tcPr>
          <w:p>
            <w:pPr>
              <w:pStyle w:val="58"/>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kern w:val="2"/>
                <w:sz w:val="21"/>
                <w:szCs w:val="21"/>
                <w:highlight w:val="none"/>
              </w:rPr>
              <w:t>供应商投诉</w:t>
            </w:r>
          </w:p>
        </w:tc>
        <w:tc>
          <w:tcPr>
            <w:tcW w:w="5814" w:type="dxa"/>
            <w:vAlign w:val="top"/>
          </w:tcPr>
          <w:p>
            <w:pPr>
              <w:keepNext w:val="0"/>
              <w:keepLines w:val="0"/>
              <w:pageBreakBefore w:val="0"/>
              <w:widowControl w:val="0"/>
              <w:kinsoku/>
              <w:wordWrap/>
              <w:overflowPunct/>
              <w:topLinePunct w:val="0"/>
              <w:bidi w:val="0"/>
              <w:snapToGrid/>
              <w:spacing w:line="400" w:lineRule="exact"/>
              <w:ind w:left="210" w:leftChars="100" w:right="105" w:rightChars="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投诉受理单位：本采购项目</w:t>
            </w:r>
            <w:r>
              <w:rPr>
                <w:rFonts w:hint="eastAsia" w:ascii="仿宋" w:hAnsi="仿宋" w:eastAsia="仿宋" w:cs="仿宋"/>
                <w:color w:val="auto"/>
                <w:highlight w:val="none"/>
                <w:lang w:eastAsia="zh-CN"/>
              </w:rPr>
              <w:t>相关管理部门。</w:t>
            </w:r>
          </w:p>
          <w:p>
            <w:pPr>
              <w:pStyle w:val="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highlight w:val="none"/>
                <w:lang w:val="zh-CN"/>
              </w:rPr>
            </w:pPr>
            <w:r>
              <w:rPr>
                <w:rFonts w:hint="eastAsia" w:ascii="仿宋" w:hAnsi="仿宋" w:eastAsia="仿宋" w:cs="仿宋"/>
                <w:color w:val="auto"/>
                <w:szCs w:val="21"/>
                <w:highlight w:val="none"/>
                <w:lang w:eastAsia="zh-CN"/>
              </w:rPr>
              <w:t>注：</w:t>
            </w:r>
            <w:r>
              <w:rPr>
                <w:rFonts w:hint="eastAsia" w:ascii="仿宋" w:hAnsi="仿宋" w:eastAsia="仿宋" w:cs="仿宋"/>
                <w:color w:val="auto"/>
                <w:szCs w:val="21"/>
                <w:highlight w:val="none"/>
                <w:lang w:val="zh-CN"/>
              </w:rPr>
              <w:t>供应商的投诉事项不得超出已质疑事项的范围。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24</w:t>
            </w:r>
          </w:p>
        </w:tc>
        <w:tc>
          <w:tcPr>
            <w:tcW w:w="2222" w:type="dxa"/>
            <w:vAlign w:val="center"/>
          </w:tcPr>
          <w:p>
            <w:pPr>
              <w:pStyle w:val="58"/>
              <w:keepNext w:val="0"/>
              <w:keepLines w:val="0"/>
              <w:pageBreakBefore w:val="0"/>
              <w:widowControl w:val="0"/>
              <w:kinsoku/>
              <w:overflowPunct/>
              <w:topLinePunct w:val="0"/>
              <w:bidi w:val="0"/>
              <w:snapToGrid/>
              <w:spacing w:line="400" w:lineRule="exact"/>
              <w:ind w:left="96" w:leftChars="0"/>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lang w:val="zh-CN"/>
              </w:rPr>
              <w:t>采购代理服务费</w:t>
            </w:r>
          </w:p>
        </w:tc>
        <w:tc>
          <w:tcPr>
            <w:tcW w:w="5814" w:type="dxa"/>
            <w:vAlign w:val="center"/>
          </w:tcPr>
          <w:p>
            <w:pPr>
              <w:pStyle w:val="58"/>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lang w:val="zh-CN"/>
              </w:rPr>
              <w:t>本次采购代理服务费为：</w:t>
            </w:r>
            <w:r>
              <w:rPr>
                <w:rFonts w:hint="eastAsia" w:ascii="仿宋" w:hAnsi="仿宋" w:eastAsia="仿宋" w:cs="仿宋"/>
                <w:color w:val="auto"/>
                <w:sz w:val="21"/>
                <w:szCs w:val="21"/>
                <w:highlight w:val="none"/>
                <w:u w:val="single"/>
                <w:lang w:val="en-US" w:eastAsia="zh-CN"/>
              </w:rPr>
              <w:t>按项目中选金额的1.5%计算收取。服务费</w:t>
            </w:r>
            <w:r>
              <w:rPr>
                <w:rFonts w:hint="eastAsia" w:ascii="仿宋" w:hAnsi="仿宋" w:eastAsia="仿宋" w:cs="仿宋"/>
                <w:color w:val="auto"/>
                <w:sz w:val="21"/>
                <w:szCs w:val="21"/>
                <w:highlight w:val="none"/>
                <w:u w:val="single"/>
                <w:lang w:val="zh-CN"/>
              </w:rPr>
              <w:t>由成交供应商在领取成交通知书前向招标代理机构</w:t>
            </w:r>
            <w:r>
              <w:rPr>
                <w:rFonts w:hint="eastAsia" w:ascii="仿宋" w:hAnsi="仿宋" w:eastAsia="仿宋" w:cs="仿宋"/>
                <w:color w:val="auto"/>
                <w:sz w:val="21"/>
                <w:szCs w:val="21"/>
                <w:highlight w:val="none"/>
                <w:u w:val="single"/>
                <w:lang w:val="en-US" w:eastAsia="zh-CN"/>
              </w:rPr>
              <w:t>一次性</w:t>
            </w:r>
            <w:r>
              <w:rPr>
                <w:rFonts w:hint="eastAsia" w:ascii="仿宋" w:hAnsi="仿宋" w:eastAsia="仿宋" w:cs="仿宋"/>
                <w:color w:val="auto"/>
                <w:sz w:val="21"/>
                <w:szCs w:val="21"/>
                <w:highlight w:val="none"/>
                <w:u w:val="single"/>
                <w:lang w:val="zh-CN"/>
              </w:rPr>
              <w:t>交纳采购代理服务费</w:t>
            </w:r>
            <w:r>
              <w:rPr>
                <w:rFonts w:hint="eastAsia" w:ascii="仿宋" w:hAnsi="仿宋" w:eastAsia="仿宋" w:cs="仿宋"/>
                <w:color w:val="auto"/>
                <w:sz w:val="21"/>
                <w:szCs w:val="21"/>
                <w:highlight w:val="none"/>
                <w:u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1013" w:type="dxa"/>
            <w:vAlign w:val="center"/>
          </w:tcPr>
          <w:p>
            <w:pPr>
              <w:pStyle w:val="58"/>
              <w:keepNext w:val="0"/>
              <w:keepLines w:val="0"/>
              <w:pageBreakBefore w:val="0"/>
              <w:widowControl w:val="0"/>
              <w:kinsoku/>
              <w:overflowPunct/>
              <w:topLinePunct w:val="0"/>
              <w:bidi w:val="0"/>
              <w:snapToGrid/>
              <w:spacing w:line="400" w:lineRule="exact"/>
              <w:ind w:left="9"/>
              <w:jc w:val="center"/>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2</w:t>
            </w:r>
            <w:r>
              <w:rPr>
                <w:rFonts w:hint="eastAsia" w:ascii="仿宋" w:hAnsi="仿宋" w:eastAsia="仿宋" w:cs="仿宋"/>
                <w:color w:val="auto"/>
                <w:kern w:val="2"/>
                <w:sz w:val="21"/>
                <w:szCs w:val="21"/>
                <w:highlight w:val="none"/>
                <w:lang w:val="en-US" w:eastAsia="zh-CN"/>
              </w:rPr>
              <w:t>5</w:t>
            </w:r>
          </w:p>
        </w:tc>
        <w:tc>
          <w:tcPr>
            <w:tcW w:w="2222" w:type="dxa"/>
            <w:vAlign w:val="center"/>
          </w:tcPr>
          <w:p>
            <w:pPr>
              <w:keepNext w:val="0"/>
              <w:keepLines w:val="0"/>
              <w:pageBreakBefore w:val="0"/>
              <w:widowControl w:val="0"/>
              <w:kinsoku/>
              <w:overflowPunct/>
              <w:topLinePunct w:val="0"/>
              <w:bidi w:val="0"/>
              <w:snapToGrid/>
              <w:spacing w:line="400" w:lineRule="exact"/>
              <w:jc w:val="center"/>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szCs w:val="21"/>
                <w:highlight w:val="none"/>
              </w:rPr>
              <w:t>其他要求</w:t>
            </w:r>
          </w:p>
        </w:tc>
        <w:tc>
          <w:tcPr>
            <w:tcW w:w="5814" w:type="dxa"/>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供应商在合同签订之后三个工作日内，将签订的合同（一份原件）送采购代理机构。</w:t>
            </w:r>
          </w:p>
        </w:tc>
      </w:tr>
    </w:tbl>
    <w:p>
      <w:pPr>
        <w:pStyle w:val="4"/>
        <w:keepNext w:val="0"/>
        <w:keepLines w:val="0"/>
        <w:spacing w:before="0" w:after="0" w:line="400" w:lineRule="exact"/>
        <w:jc w:val="left"/>
        <w:rPr>
          <w:rFonts w:hint="default" w:ascii="仿宋" w:hAnsi="仿宋" w:eastAsia="仿宋" w:cs="仿宋"/>
          <w:bCs w:val="0"/>
          <w:color w:val="auto"/>
          <w:sz w:val="28"/>
          <w:szCs w:val="28"/>
          <w:highlight w:val="none"/>
          <w:lang w:val="en-US" w:eastAsia="zh-CN"/>
        </w:rPr>
      </w:pPr>
      <w:r>
        <w:rPr>
          <w:rFonts w:hint="eastAsia" w:ascii="仿宋" w:hAnsi="仿宋" w:eastAsia="仿宋" w:cs="仿宋"/>
          <w:bCs w:val="0"/>
          <w:color w:val="auto"/>
          <w:sz w:val="28"/>
          <w:szCs w:val="28"/>
          <w:highlight w:val="none"/>
        </w:rPr>
        <w:t>注：若磋商供应商须知前附表和总则不一致时以磋商供应商须知前附表</w:t>
      </w:r>
      <w:r>
        <w:rPr>
          <w:rFonts w:hint="eastAsia" w:ascii="仿宋" w:hAnsi="仿宋" w:eastAsia="仿宋" w:cs="仿宋"/>
          <w:bCs w:val="0"/>
          <w:color w:val="auto"/>
          <w:sz w:val="28"/>
          <w:szCs w:val="28"/>
          <w:highlight w:val="none"/>
          <w:lang w:eastAsia="zh-CN"/>
        </w:rPr>
        <w:t>为准</w:t>
      </w:r>
      <w:r>
        <w:rPr>
          <w:rFonts w:hint="eastAsia" w:ascii="仿宋" w:hAnsi="仿宋" w:eastAsia="仿宋" w:cs="仿宋"/>
          <w:bCs w:val="0"/>
          <w:color w:val="auto"/>
          <w:sz w:val="28"/>
          <w:szCs w:val="28"/>
          <w:highlight w:val="none"/>
          <w:lang w:val="en-US" w:eastAsia="zh-CN"/>
        </w:rPr>
        <w:t>.</w:t>
      </w:r>
    </w:p>
    <w:p>
      <w:pPr>
        <w:pStyle w:val="4"/>
        <w:keepNext/>
        <w:keepLines/>
        <w:pageBreakBefore/>
        <w:widowControl w:val="0"/>
        <w:kinsoku/>
        <w:wordWrap/>
        <w:overflowPunct/>
        <w:topLinePunct w:val="0"/>
        <w:autoSpaceDE/>
        <w:autoSpaceDN/>
        <w:bidi w:val="0"/>
        <w:adjustRightInd/>
        <w:snapToGrid/>
        <w:spacing w:before="0" w:after="0" w:line="400" w:lineRule="exact"/>
        <w:jc w:val="center"/>
        <w:textAlignment w:val="auto"/>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二、总  则</w:t>
      </w:r>
    </w:p>
    <w:p>
      <w:pPr>
        <w:spacing w:line="400" w:lineRule="exact"/>
        <w:outlineLvl w:val="2"/>
        <w:rPr>
          <w:rFonts w:hint="eastAsia" w:ascii="仿宋" w:hAnsi="仿宋" w:eastAsia="仿宋" w:cs="仿宋"/>
          <w:color w:val="auto"/>
          <w:highlight w:val="none"/>
        </w:rPr>
      </w:pPr>
      <w:bookmarkStart w:id="11" w:name="_Toc183582205"/>
      <w:bookmarkStart w:id="12" w:name="_Toc183682342"/>
      <w:bookmarkStart w:id="13" w:name="_Toc217446034"/>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bookmarkEnd w:id="11"/>
      <w:bookmarkEnd w:id="12"/>
      <w:r>
        <w:rPr>
          <w:rFonts w:hint="eastAsia" w:ascii="仿宋" w:hAnsi="仿宋" w:eastAsia="仿宋" w:cs="仿宋"/>
          <w:color w:val="auto"/>
          <w:sz w:val="24"/>
          <w:szCs w:val="24"/>
          <w:highlight w:val="none"/>
        </w:rPr>
        <w:t>适用范围</w:t>
      </w:r>
      <w:bookmarkEnd w:id="13"/>
    </w:p>
    <w:p>
      <w:pPr>
        <w:tabs>
          <w:tab w:val="left" w:pos="7665"/>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1.1 本磋商文件仅适用于本次磋商所叙述的服务采购。</w:t>
      </w:r>
    </w:p>
    <w:p>
      <w:pPr>
        <w:tabs>
          <w:tab w:val="left" w:pos="7665"/>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1.2 本磋商文件的解释权归采购人和采购代理机构所有。</w:t>
      </w:r>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14" w:name="_Toc183682343"/>
      <w:bookmarkStart w:id="15" w:name="_Toc217446035"/>
      <w:bookmarkStart w:id="16" w:name="_Toc183582206"/>
      <w:r>
        <w:rPr>
          <w:rFonts w:hint="eastAsia" w:ascii="仿宋" w:hAnsi="仿宋" w:eastAsia="仿宋" w:cs="仿宋"/>
          <w:color w:val="auto"/>
          <w:sz w:val="24"/>
          <w:highlight w:val="none"/>
        </w:rPr>
        <w:t>2.</w:t>
      </w:r>
      <w:bookmarkEnd w:id="14"/>
      <w:bookmarkEnd w:id="15"/>
      <w:bookmarkEnd w:id="16"/>
      <w:r>
        <w:rPr>
          <w:rFonts w:hint="eastAsia" w:ascii="仿宋" w:hAnsi="仿宋" w:eastAsia="仿宋" w:cs="仿宋"/>
          <w:color w:val="auto"/>
          <w:sz w:val="24"/>
          <w:highlight w:val="none"/>
        </w:rPr>
        <w:t>采购主体</w:t>
      </w:r>
    </w:p>
    <w:p>
      <w:pPr>
        <w:tabs>
          <w:tab w:val="left" w:pos="7665"/>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2.1本次磋商的采购人是</w:t>
      </w:r>
      <w:r>
        <w:rPr>
          <w:rFonts w:hint="eastAsia" w:ascii="仿宋" w:hAnsi="仿宋" w:eastAsia="仿宋" w:cs="仿宋"/>
          <w:color w:val="auto"/>
          <w:sz w:val="24"/>
          <w:highlight w:val="none"/>
          <w:u w:val="single"/>
          <w:lang w:eastAsia="zh-CN"/>
        </w:rPr>
        <w:t>乐山市总工会</w:t>
      </w:r>
      <w:r>
        <w:rPr>
          <w:rFonts w:hint="eastAsia" w:ascii="仿宋" w:hAnsi="仿宋" w:eastAsia="仿宋" w:cs="仿宋"/>
          <w:color w:val="auto"/>
          <w:sz w:val="24"/>
          <w:highlight w:val="none"/>
        </w:rPr>
        <w:t>。</w:t>
      </w:r>
    </w:p>
    <w:p>
      <w:pPr>
        <w:tabs>
          <w:tab w:val="left" w:pos="7665"/>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2.2本次磋商的采购代理机构是</w:t>
      </w:r>
      <w:r>
        <w:rPr>
          <w:rFonts w:hint="eastAsia" w:ascii="仿宋" w:hAnsi="仿宋" w:eastAsia="仿宋" w:cs="仿宋"/>
          <w:color w:val="auto"/>
          <w:sz w:val="24"/>
          <w:highlight w:val="none"/>
          <w:u w:val="single"/>
          <w:lang w:eastAsia="zh-CN"/>
        </w:rPr>
        <w:t>四川茂沛工程项目管理有限公司</w:t>
      </w:r>
      <w:r>
        <w:rPr>
          <w:rFonts w:hint="eastAsia" w:ascii="仿宋" w:hAnsi="仿宋" w:eastAsia="仿宋" w:cs="仿宋"/>
          <w:color w:val="auto"/>
          <w:sz w:val="24"/>
          <w:highlight w:val="none"/>
        </w:rPr>
        <w:t>。</w:t>
      </w:r>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17" w:name="_Toc183682344"/>
      <w:bookmarkStart w:id="18" w:name="_Toc217390843"/>
      <w:bookmarkStart w:id="19" w:name="_Toc217446036"/>
      <w:bookmarkStart w:id="20" w:name="_Toc183582207"/>
      <w:r>
        <w:rPr>
          <w:rFonts w:hint="eastAsia" w:ascii="仿宋" w:hAnsi="仿宋" w:eastAsia="仿宋" w:cs="仿宋"/>
          <w:color w:val="auto"/>
          <w:sz w:val="24"/>
          <w:highlight w:val="none"/>
        </w:rPr>
        <w:t>3.合格</w:t>
      </w:r>
      <w:bookmarkEnd w:id="17"/>
      <w:bookmarkEnd w:id="18"/>
      <w:bookmarkEnd w:id="19"/>
      <w:bookmarkEnd w:id="20"/>
      <w:r>
        <w:rPr>
          <w:rFonts w:hint="eastAsia" w:ascii="仿宋" w:hAnsi="仿宋" w:eastAsia="仿宋" w:cs="仿宋"/>
          <w:color w:val="auto"/>
          <w:sz w:val="24"/>
          <w:highlight w:val="none"/>
        </w:rPr>
        <w:t>供应商（实质性要求）</w:t>
      </w:r>
    </w:p>
    <w:p>
      <w:pPr>
        <w:tabs>
          <w:tab w:val="left" w:pos="7665"/>
        </w:tabs>
        <w:spacing w:line="400" w:lineRule="exact"/>
        <w:outlineLvl w:val="2"/>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合格供应商应具备以下条件：</w:t>
      </w:r>
    </w:p>
    <w:p>
      <w:pPr>
        <w:tabs>
          <w:tab w:val="left" w:pos="7665"/>
        </w:tabs>
        <w:spacing w:line="400" w:lineRule="exact"/>
        <w:ind w:firstLine="480" w:firstLineChars="200"/>
        <w:outlineLvl w:val="2"/>
        <w:rPr>
          <w:rFonts w:hint="eastAsia" w:ascii="仿宋" w:hAnsi="仿宋" w:eastAsia="仿宋" w:cs="仿宋"/>
          <w:color w:val="auto"/>
          <w:spacing w:val="-4"/>
          <w:sz w:val="24"/>
          <w:highlight w:val="none"/>
        </w:rPr>
      </w:pPr>
      <w:r>
        <w:rPr>
          <w:rFonts w:hint="eastAsia" w:ascii="仿宋" w:hAnsi="仿宋" w:eastAsia="仿宋" w:cs="仿宋"/>
          <w:color w:val="auto"/>
          <w:sz w:val="24"/>
          <w:highlight w:val="none"/>
        </w:rPr>
        <w:t>3.1 具备法律法规和本采购文件规定的资格条件</w:t>
      </w:r>
      <w:r>
        <w:rPr>
          <w:rFonts w:hint="eastAsia" w:ascii="仿宋" w:hAnsi="仿宋" w:eastAsia="仿宋" w:cs="仿宋"/>
          <w:color w:val="auto"/>
          <w:spacing w:val="-4"/>
          <w:sz w:val="24"/>
          <w:highlight w:val="none"/>
        </w:rPr>
        <w:t>；</w:t>
      </w:r>
    </w:p>
    <w:p>
      <w:pPr>
        <w:tabs>
          <w:tab w:val="left" w:pos="7665"/>
        </w:tabs>
        <w:spacing w:line="400" w:lineRule="exact"/>
        <w:ind w:firstLine="464" w:firstLineChars="200"/>
        <w:outlineLvl w:val="2"/>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3.2 不属于禁止参加本项目采购活动的供应商；</w:t>
      </w:r>
    </w:p>
    <w:p>
      <w:pPr>
        <w:tabs>
          <w:tab w:val="left" w:pos="7665"/>
        </w:tabs>
        <w:spacing w:line="400" w:lineRule="exact"/>
        <w:ind w:firstLine="464" w:firstLineChars="200"/>
        <w:outlineLvl w:val="2"/>
        <w:rPr>
          <w:rFonts w:hint="eastAsia" w:ascii="仿宋" w:hAnsi="仿宋" w:eastAsia="仿宋" w:cs="仿宋"/>
          <w:color w:val="auto"/>
          <w:highlight w:val="none"/>
        </w:rPr>
      </w:pPr>
      <w:r>
        <w:rPr>
          <w:rFonts w:hint="eastAsia" w:ascii="仿宋" w:hAnsi="仿宋" w:eastAsia="仿宋" w:cs="仿宋"/>
          <w:color w:val="auto"/>
          <w:spacing w:val="-4"/>
          <w:sz w:val="24"/>
          <w:highlight w:val="none"/>
        </w:rPr>
        <w:t>3.3 按照规定</w:t>
      </w:r>
      <w:r>
        <w:rPr>
          <w:rFonts w:hint="eastAsia" w:ascii="仿宋" w:hAnsi="仿宋" w:eastAsia="仿宋" w:cs="仿宋"/>
          <w:color w:val="auto"/>
          <w:sz w:val="24"/>
          <w:highlight w:val="none"/>
        </w:rPr>
        <w:t>获取了磋商文件，属于实质性参加采购活动的供应商。</w:t>
      </w:r>
      <w:bookmarkStart w:id="21" w:name="_Toc183582208"/>
      <w:bookmarkStart w:id="22" w:name="_Toc217446037"/>
      <w:bookmarkStart w:id="23" w:name="_Toc183682345"/>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4.磋商费用</w:t>
      </w:r>
      <w:bookmarkEnd w:id="21"/>
      <w:bookmarkEnd w:id="22"/>
      <w:bookmarkEnd w:id="23"/>
    </w:p>
    <w:p>
      <w:pPr>
        <w:tabs>
          <w:tab w:val="left" w:pos="7665"/>
        </w:tabs>
        <w:spacing w:line="400" w:lineRule="exact"/>
        <w:ind w:firstLine="48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供应商应自行承担参加磋商活动的全部费用。</w:t>
      </w:r>
    </w:p>
    <w:p>
      <w:pPr>
        <w:pStyle w:val="56"/>
        <w:spacing w:line="400" w:lineRule="exact"/>
        <w:ind w:left="1" w:firstLine="480" w:firstLineChars="20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5.充分、公平竞争保障措施（实质性要求）</w:t>
      </w:r>
    </w:p>
    <w:p>
      <w:pPr>
        <w:pStyle w:val="56"/>
        <w:spacing w:line="400" w:lineRule="exact"/>
        <w:ind w:left="1" w:firstLine="480" w:firstLineChars="200"/>
        <w:outlineLvl w:val="2"/>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5.4提供相同品牌产品处理。提供相同品牌产品的不同供应商参加同一合同项下采购活动的，以其中通过资格审查且报价最低的供应商参加磋商，报价相同的，由采购人自主采取公平、择优的方式确定一个供应商参加磋商，其他响应文件无效。</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非单一产品采购项目中，多家供应商提供的部分或所有核心产品品牌相同的，视为提供相同品牌产品。</w:t>
      </w:r>
      <w:r>
        <w:rPr>
          <w:rFonts w:hint="eastAsia" w:ascii="仿宋" w:hAnsi="仿宋" w:eastAsia="仿宋" w:cs="仿宋"/>
          <w:b/>
          <w:bCs/>
          <w:color w:val="auto"/>
          <w:sz w:val="24"/>
          <w:highlight w:val="none"/>
        </w:rPr>
        <w:t>（本项目不</w:t>
      </w:r>
      <w:r>
        <w:rPr>
          <w:rFonts w:hint="eastAsia" w:ascii="仿宋" w:hAnsi="仿宋" w:eastAsia="仿宋" w:cs="仿宋"/>
          <w:b/>
          <w:bCs/>
          <w:color w:val="auto"/>
          <w:sz w:val="24"/>
          <w:highlight w:val="none"/>
          <w:lang w:eastAsia="zh-CN"/>
        </w:rPr>
        <w:t>作要求</w:t>
      </w:r>
      <w:r>
        <w:rPr>
          <w:rFonts w:hint="eastAsia" w:ascii="仿宋" w:hAnsi="仿宋" w:eastAsia="仿宋" w:cs="仿宋"/>
          <w:b/>
          <w:bCs/>
          <w:color w:val="auto"/>
          <w:sz w:val="24"/>
          <w:highlight w:val="none"/>
        </w:rPr>
        <w:t>）</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5.5供应商实际控制人或者中高级管理人员，同时是采购代理机构工作人员，不得参与本项目采购活动。</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5.6同一母公司的两家以上的子公司只能组成联合体参加本项目同一合同项下的采购活动，不得以不同供应商身份同时参加本项目同一合同项下的采购活动。</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5.7供应商与采购代理机构存在关联关系，或者是采购代理机构的母公司或子公司，不得参加本项目采购活动。</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5.8回避。采购活动中，采购人员及相关人员与供应商有下列利害关系之一的，应当回避：</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（4）与供应商的法定代表人或者负责人有夫妻、直系血亲、三代以内旁系血亲或者近姻亲关系；</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（5）与供应商有其他可能影响采购活动公平、公正进行的关系。</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6"/>
        <w:spacing w:line="400" w:lineRule="exact"/>
        <w:ind w:left="1" w:firstLine="480" w:firstLineChars="200"/>
        <w:outlineLvl w:val="2"/>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5.9进口产品</w:t>
      </w:r>
    </w:p>
    <w:p>
      <w:pPr>
        <w:pStyle w:val="56"/>
        <w:spacing w:line="360" w:lineRule="auto"/>
        <w:ind w:left="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本项目为服务类采购，不涉及进口产品</w:t>
      </w:r>
      <w:r>
        <w:rPr>
          <w:rFonts w:hint="eastAsia" w:ascii="仿宋" w:hAnsi="仿宋" w:eastAsia="仿宋" w:cs="仿宋"/>
          <w:color w:val="auto"/>
          <w:sz w:val="24"/>
          <w:highlight w:val="none"/>
          <w:lang w:eastAsia="zh-CN"/>
        </w:rPr>
        <w:t>要求</w:t>
      </w:r>
      <w:r>
        <w:rPr>
          <w:rFonts w:hint="eastAsia" w:ascii="仿宋" w:hAnsi="仿宋" w:eastAsia="仿宋" w:cs="仿宋"/>
          <w:color w:val="auto"/>
          <w:sz w:val="24"/>
          <w:highlight w:val="none"/>
        </w:rPr>
        <w:t>。</w:t>
      </w:r>
    </w:p>
    <w:p>
      <w:pPr>
        <w:pStyle w:val="56"/>
        <w:spacing w:line="400" w:lineRule="exact"/>
        <w:ind w:left="1" w:firstLine="480" w:firstLineChars="20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6.联合体竞争性磋商（实质性要求）</w:t>
      </w:r>
    </w:p>
    <w:p>
      <w:pPr>
        <w:pStyle w:val="56"/>
        <w:spacing w:line="400" w:lineRule="exact"/>
        <w:ind w:left="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b/>
          <w:color w:val="auto"/>
          <w:sz w:val="24"/>
          <w:highlight w:val="none"/>
          <w:u w:val="single"/>
        </w:rPr>
        <w:t>不接受</w:t>
      </w:r>
      <w:r>
        <w:rPr>
          <w:rFonts w:hint="eastAsia" w:ascii="仿宋" w:hAnsi="仿宋" w:eastAsia="仿宋" w:cs="仿宋"/>
          <w:color w:val="auto"/>
          <w:sz w:val="24"/>
          <w:highlight w:val="none"/>
        </w:rPr>
        <w:t>联合体参与采购活动。</w:t>
      </w:r>
    </w:p>
    <w:p>
      <w:pPr>
        <w:pStyle w:val="56"/>
        <w:spacing w:line="400" w:lineRule="exact"/>
        <w:ind w:left="1" w:firstLine="480" w:firstLineChars="20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7.磋商保证金</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7.1 供应商必须以人民币为计量单位提交磋商文件规定数额的磋商保证金。</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7.2 未按磋商文件要求在规定时间前交纳规定数额磋商保证金的响应文件无效。</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7.3 供应商所交纳的磋商保证金不计利息。</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7.4 未成交供应商的磋商保证金，将在成交通知书发出后5个工作日内全额退还。成交供应商的磋商保证金，在合同签订生效并按规定交纳了履约保证金后5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7.5发生下列情形之一的，采购代理机构将不予退还磋商保证金：</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（一）在磋商文件规定的递交响应文件截止时间后撤回响应文件的；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（二）在采购人确定成交供应商之前放弃成交候选资格的；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（三）成交后放弃、不领取或者不接收成交通知书的；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（四）由于成交供应商的原因未能按照磋商文件的规定与采购人签订合同的；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（五）由于成交供应商的原因未能按照磋商文件的规定交纳履约保证金的；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（六）供应商在采购活动中提供虚假材料的；</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（七）报价有效期内，供应商在采购活动中有违法、违规、违纪行为。</w:t>
      </w:r>
    </w:p>
    <w:p>
      <w:pPr>
        <w:spacing w:line="400" w:lineRule="exact"/>
        <w:ind w:firstLine="470" w:firstLineChars="196"/>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8.响应文件有效期（实质性要求）</w:t>
      </w:r>
    </w:p>
    <w:p>
      <w:pPr>
        <w:spacing w:line="400" w:lineRule="exact"/>
        <w:ind w:firstLine="470" w:firstLineChars="196"/>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9"/>
        <w:spacing w:line="400" w:lineRule="exact"/>
        <w:ind w:firstLine="480" w:firstLineChars="200"/>
        <w:outlineLvl w:val="2"/>
        <w:rPr>
          <w:rFonts w:hint="eastAsia" w:ascii="仿宋" w:hAnsi="仿宋" w:eastAsia="仿宋" w:cs="仿宋"/>
          <w:b/>
          <w:bCs/>
          <w:color w:val="auto"/>
          <w:sz w:val="24"/>
          <w:szCs w:val="24"/>
          <w:highlight w:val="none"/>
        </w:rPr>
      </w:pPr>
      <w:r>
        <w:rPr>
          <w:rFonts w:hint="eastAsia" w:ascii="仿宋" w:hAnsi="仿宋" w:eastAsia="仿宋" w:cs="仿宋"/>
          <w:b/>
          <w:color w:val="auto"/>
          <w:sz w:val="24"/>
          <w:highlight w:val="none"/>
        </w:rPr>
        <w:t>9.</w:t>
      </w:r>
      <w:r>
        <w:rPr>
          <w:rFonts w:hint="eastAsia" w:ascii="仿宋" w:hAnsi="仿宋" w:eastAsia="仿宋" w:cs="仿宋"/>
          <w:b/>
          <w:bCs/>
          <w:color w:val="auto"/>
          <w:sz w:val="24"/>
          <w:szCs w:val="24"/>
          <w:highlight w:val="none"/>
        </w:rPr>
        <w:t>知识产权（实质性要求）</w:t>
      </w:r>
    </w:p>
    <w:p>
      <w:pPr>
        <w:pStyle w:val="9"/>
        <w:spacing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承担所有相关责任。</w:t>
      </w:r>
    </w:p>
    <w:p>
      <w:pPr>
        <w:pStyle w:val="9"/>
        <w:spacing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除非磋商文件特别规定，采购人享有本项目实施过程中产生的知识成果及知识产权。</w:t>
      </w:r>
    </w:p>
    <w:p>
      <w:pPr>
        <w:spacing w:line="400" w:lineRule="exact"/>
        <w:ind w:firstLine="480" w:firstLineChars="200"/>
        <w:outlineLvl w:val="2"/>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t>9.3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9.4 如采用供应商所不拥有的知识产权，则在报价中必须包括合法获取该知识产权的相关费用。 </w:t>
      </w:r>
    </w:p>
    <w:p>
      <w:pPr>
        <w:pStyle w:val="4"/>
        <w:keepNext w:val="0"/>
        <w:keepLines w:val="0"/>
        <w:spacing w:before="0" w:after="0" w:line="400" w:lineRule="exact"/>
        <w:jc w:val="center"/>
        <w:rPr>
          <w:rFonts w:hint="eastAsia" w:ascii="仿宋" w:hAnsi="仿宋" w:eastAsia="仿宋" w:cs="仿宋"/>
          <w:bCs w:val="0"/>
          <w:color w:val="auto"/>
          <w:sz w:val="28"/>
          <w:szCs w:val="28"/>
          <w:highlight w:val="none"/>
        </w:rPr>
      </w:pPr>
      <w:bookmarkStart w:id="24" w:name="_Toc89075875"/>
      <w:bookmarkStart w:id="25" w:name="_Toc77400779"/>
      <w:bookmarkStart w:id="26" w:name="_Toc183582209"/>
      <w:bookmarkStart w:id="27" w:name="_Toc217446038"/>
      <w:bookmarkStart w:id="28" w:name="_Toc183682346"/>
    </w:p>
    <w:p>
      <w:pPr>
        <w:pStyle w:val="4"/>
        <w:keepNext w:val="0"/>
        <w:keepLines w:val="0"/>
        <w:spacing w:before="0" w:after="0" w:line="400" w:lineRule="exact"/>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三、磋商文件</w:t>
      </w:r>
      <w:bookmarkEnd w:id="24"/>
      <w:bookmarkEnd w:id="25"/>
      <w:bookmarkEnd w:id="26"/>
      <w:bookmarkEnd w:id="27"/>
      <w:bookmarkEnd w:id="28"/>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29" w:name="_Toc183582210"/>
      <w:bookmarkStart w:id="30" w:name="_Toc183682347"/>
      <w:bookmarkStart w:id="31" w:name="_Toc217446039"/>
      <w:r>
        <w:rPr>
          <w:rFonts w:hint="eastAsia" w:ascii="仿宋" w:hAnsi="仿宋" w:eastAsia="仿宋" w:cs="仿宋"/>
          <w:color w:val="auto"/>
          <w:sz w:val="24"/>
          <w:highlight w:val="none"/>
        </w:rPr>
        <w:t>10．磋商文件的构成</w:t>
      </w:r>
      <w:bookmarkEnd w:id="29"/>
      <w:bookmarkEnd w:id="30"/>
      <w:bookmarkEnd w:id="31"/>
      <w:r>
        <w:rPr>
          <w:rFonts w:hint="eastAsia" w:ascii="仿宋" w:hAnsi="仿宋" w:eastAsia="仿宋" w:cs="仿宋"/>
          <w:color w:val="auto"/>
          <w:sz w:val="24"/>
          <w:highlight w:val="none"/>
        </w:rPr>
        <w:t>（实质性要求）</w:t>
      </w:r>
    </w:p>
    <w:p>
      <w:pPr>
        <w:tabs>
          <w:tab w:val="left" w:pos="720"/>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32" w:name="_Toc183682348"/>
      <w:bookmarkStart w:id="33" w:name="_Toc183582211"/>
      <w:bookmarkStart w:id="34" w:name="_Toc217446040"/>
      <w:r>
        <w:rPr>
          <w:rFonts w:hint="eastAsia" w:ascii="仿宋" w:hAnsi="仿宋" w:eastAsia="仿宋" w:cs="仿宋"/>
          <w:color w:val="auto"/>
          <w:sz w:val="24"/>
          <w:highlight w:val="none"/>
        </w:rPr>
        <w:t>11. 磋商文件的澄清</w:t>
      </w:r>
      <w:bookmarkEnd w:id="32"/>
      <w:bookmarkEnd w:id="33"/>
      <w:r>
        <w:rPr>
          <w:rFonts w:hint="eastAsia" w:ascii="仿宋" w:hAnsi="仿宋" w:eastAsia="仿宋" w:cs="仿宋"/>
          <w:color w:val="auto"/>
          <w:sz w:val="24"/>
          <w:highlight w:val="none"/>
        </w:rPr>
        <w:t>和修改</w:t>
      </w:r>
      <w:bookmarkEnd w:id="34"/>
    </w:p>
    <w:p>
      <w:pPr>
        <w:tabs>
          <w:tab w:val="left" w:pos="720"/>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11.1 在递交响应文件截止时间前，采购人、采购代理机构可以对磋商文件进行澄清或者修改。</w:t>
      </w:r>
    </w:p>
    <w:p>
      <w:pPr>
        <w:tabs>
          <w:tab w:val="left" w:pos="720"/>
        </w:tabs>
        <w:spacing w:line="400" w:lineRule="exact"/>
        <w:ind w:firstLine="480" w:firstLineChars="20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11.2 采购代理机构对已发出的磋商文件进行澄清或者修改，应当以书面形式将澄清或者修改的内容通知所有购买了磋商文件的供应商，同时在</w:t>
      </w:r>
      <w:r>
        <w:rPr>
          <w:rFonts w:hint="eastAsia" w:ascii="仿宋" w:hAnsi="仿宋" w:eastAsia="仿宋" w:cs="仿宋"/>
          <w:bCs/>
          <w:color w:val="auto"/>
          <w:highlight w:val="none"/>
          <w:u w:val="single"/>
          <w:lang w:val="en-US" w:eastAsia="zh-CN"/>
        </w:rPr>
        <w:t>中国政府采购网（https://www.ccgp.gov.cn/）和</w:t>
      </w:r>
      <w:r>
        <w:rPr>
          <w:rFonts w:hint="eastAsia" w:ascii="仿宋" w:hAnsi="仿宋" w:eastAsia="仿宋" w:cs="仿宋"/>
          <w:color w:val="auto"/>
          <w:sz w:val="24"/>
          <w:highlight w:val="none"/>
          <w:u w:val="single"/>
          <w:lang w:val="en-US" w:eastAsia="zh-CN"/>
        </w:rPr>
        <w:t>中国招标投标公共服务平台（http://www.cebpubservice.com/）</w:t>
      </w:r>
      <w:r>
        <w:rPr>
          <w:rFonts w:hint="eastAsia" w:ascii="仿宋" w:hAnsi="仿宋" w:eastAsia="仿宋" w:cs="仿宋"/>
          <w:color w:val="auto"/>
          <w:sz w:val="24"/>
          <w:highlight w:val="none"/>
        </w:rPr>
        <w:t>上发布更正公告。该澄清或者修改的内容为磋商文件的组成部分，澄清或者修改的内容可能影响响应文件编制的，采购人或者采购代理机构发布公告并书面通知供应商的时间，应当在提交首次响应文件截止之日起5个工作日前；不足上述时间的，应当顺延递交响应文件的截止时间。</w:t>
      </w:r>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35" w:name="_Toc217446041"/>
      <w:bookmarkStart w:id="36" w:name="_Toc208848971"/>
      <w:r>
        <w:rPr>
          <w:rFonts w:hint="eastAsia" w:ascii="仿宋" w:hAnsi="仿宋" w:eastAsia="仿宋" w:cs="仿宋"/>
          <w:color w:val="auto"/>
          <w:sz w:val="24"/>
          <w:highlight w:val="none"/>
        </w:rPr>
        <w:t>12. 答疑会和现场考察</w:t>
      </w:r>
      <w:bookmarkEnd w:id="35"/>
      <w:bookmarkEnd w:id="36"/>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12.1 根据采购项目和具体情况，采购人、采购代理机构认为有必要，可以在磋商文件提供期限截止后响应文件提交截止前，组织已获取磋商文件的潜在供应商现场考察或者召开答疑会。</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outlineLvl w:val="2"/>
        <w:rPr>
          <w:rFonts w:hint="eastAsia" w:ascii="仿宋" w:hAnsi="仿宋" w:eastAsia="仿宋" w:cs="仿宋"/>
          <w:bCs w:val="0"/>
          <w:color w:val="auto"/>
          <w:sz w:val="28"/>
          <w:szCs w:val="28"/>
          <w:highlight w:val="none"/>
        </w:rPr>
      </w:pPr>
      <w:r>
        <w:rPr>
          <w:rFonts w:hint="eastAsia" w:ascii="仿宋" w:hAnsi="仿宋" w:eastAsia="仿宋" w:cs="仿宋"/>
          <w:color w:val="auto"/>
          <w:sz w:val="24"/>
          <w:highlight w:val="none"/>
        </w:rPr>
        <w:t>12.3 供应商考察现场或者参加答疑会所发生的一切费用由供应商自己承担。</w:t>
      </w:r>
      <w:bookmarkStart w:id="37" w:name="_Toc183582214"/>
      <w:bookmarkStart w:id="38" w:name="_Toc77400780"/>
      <w:bookmarkStart w:id="39" w:name="_Toc183682351"/>
      <w:bookmarkStart w:id="40" w:name="_Toc89075876"/>
      <w:bookmarkStart w:id="41" w:name="_Toc217446042"/>
    </w:p>
    <w:p>
      <w:pPr>
        <w:pStyle w:val="4"/>
        <w:keepNext w:val="0"/>
        <w:keepLines w:val="0"/>
        <w:spacing w:before="0" w:after="0" w:line="400" w:lineRule="exact"/>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四、响应文件</w:t>
      </w:r>
      <w:bookmarkEnd w:id="37"/>
      <w:bookmarkEnd w:id="38"/>
      <w:bookmarkEnd w:id="39"/>
      <w:bookmarkEnd w:id="40"/>
      <w:bookmarkEnd w:id="41"/>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42" w:name="_Toc183582215"/>
      <w:bookmarkStart w:id="43" w:name="_Toc183682352"/>
      <w:bookmarkStart w:id="44" w:name="_Toc217446043"/>
      <w:r>
        <w:rPr>
          <w:rFonts w:hint="eastAsia" w:ascii="仿宋" w:hAnsi="仿宋" w:eastAsia="仿宋" w:cs="仿宋"/>
          <w:color w:val="auto"/>
          <w:sz w:val="24"/>
          <w:highlight w:val="none"/>
        </w:rPr>
        <w:t>13.响应文件的组成（实质性要求）</w:t>
      </w:r>
    </w:p>
    <w:p>
      <w:pPr>
        <w:spacing w:line="400" w:lineRule="exact"/>
        <w:ind w:left="2" w:leftChars="1" w:firstLine="480" w:firstLineChars="20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pStyle w:val="4"/>
        <w:keepNext w:val="0"/>
        <w:keepLines w:val="0"/>
        <w:spacing w:before="0" w:after="0" w:line="400" w:lineRule="exact"/>
        <w:ind w:firstLine="480" w:firstLineChars="200"/>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14.响应文件的语言</w:t>
      </w:r>
      <w:bookmarkEnd w:id="42"/>
      <w:bookmarkEnd w:id="43"/>
      <w:bookmarkEnd w:id="44"/>
      <w:r>
        <w:rPr>
          <w:rFonts w:hint="eastAsia" w:ascii="仿宋" w:hAnsi="仿宋" w:eastAsia="仿宋" w:cs="仿宋"/>
          <w:bCs w:val="0"/>
          <w:color w:val="auto"/>
          <w:sz w:val="24"/>
          <w:highlight w:val="none"/>
        </w:rPr>
        <w:t>（实质性要求）</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400" w:lineRule="exact"/>
        <w:ind w:firstLine="480" w:firstLineChars="20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14.2 翻译的中文资料与外文资料如果出现差异和矛盾，以中文为准。但不能故意错误翻译，否则，供应商的响应文件将作为无效处理。</w:t>
      </w:r>
      <w:bookmarkStart w:id="45" w:name="_Toc217446044"/>
      <w:bookmarkStart w:id="46" w:name="_Toc183682353"/>
      <w:bookmarkStart w:id="47" w:name="_Toc183582216"/>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15．计量单位</w:t>
      </w:r>
      <w:bookmarkEnd w:id="45"/>
      <w:bookmarkEnd w:id="46"/>
      <w:bookmarkEnd w:id="47"/>
      <w:r>
        <w:rPr>
          <w:rFonts w:hint="eastAsia" w:ascii="仿宋" w:hAnsi="仿宋" w:eastAsia="仿宋" w:cs="仿宋"/>
          <w:color w:val="auto"/>
          <w:sz w:val="24"/>
          <w:highlight w:val="none"/>
        </w:rPr>
        <w:t>（实质性要求）</w:t>
      </w:r>
    </w:p>
    <w:p>
      <w:pPr>
        <w:spacing w:line="400" w:lineRule="exact"/>
        <w:ind w:firstLine="470" w:firstLineChars="196"/>
        <w:outlineLvl w:val="2"/>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除磋商文件中另有规定外，本次采购项目所有合同项下的报价均采用国家法定的计量单位。</w:t>
      </w:r>
      <w:bookmarkStart w:id="48" w:name="_Toc217446045"/>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 报价货币（实质性要求）</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本次磋商项目的</w:t>
      </w:r>
      <w:r>
        <w:rPr>
          <w:rFonts w:hint="eastAsia" w:ascii="仿宋" w:hAnsi="仿宋" w:eastAsia="仿宋" w:cs="仿宋"/>
          <w:color w:val="auto"/>
          <w:sz w:val="24"/>
          <w:highlight w:val="none"/>
        </w:rPr>
        <w:t>报价货币为</w:t>
      </w:r>
      <w:r>
        <w:rPr>
          <w:rFonts w:hint="eastAsia" w:ascii="仿宋" w:hAnsi="仿宋" w:eastAsia="仿宋" w:cs="仿宋"/>
          <w:bCs/>
          <w:color w:val="auto"/>
          <w:sz w:val="24"/>
          <w:highlight w:val="none"/>
        </w:rPr>
        <w:t>人民币，报价以磋商文件规定为准。</w:t>
      </w:r>
    </w:p>
    <w:bookmarkEnd w:id="48"/>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17.响应文件格式</w:t>
      </w:r>
    </w:p>
    <w:p>
      <w:pPr>
        <w:spacing w:line="400" w:lineRule="exact"/>
        <w:ind w:left="2" w:leftChars="1" w:firstLine="480" w:firstLineChars="200"/>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17.1 供应商应执行磋商文件第七章的规定要求。</w:t>
      </w:r>
    </w:p>
    <w:p>
      <w:pPr>
        <w:spacing w:line="400" w:lineRule="exact"/>
        <w:ind w:left="2" w:leftChars="1"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17.2 对于没有格式要求的磋商文件由供应商自行编写。</w:t>
      </w:r>
      <w:bookmarkStart w:id="49" w:name="_Toc183682361"/>
      <w:bookmarkStart w:id="50" w:name="_Toc183582224"/>
      <w:bookmarkStart w:id="51" w:name="_Toc217446051"/>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18.响应文件的编制和签署</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color w:val="auto"/>
          <w:sz w:val="24"/>
          <w:highlight w:val="none"/>
        </w:rPr>
        <w:t>18.1 资格性响应文件</w:t>
      </w:r>
      <w:r>
        <w:rPr>
          <w:rFonts w:hint="eastAsia" w:ascii="仿宋" w:hAnsi="仿宋" w:eastAsia="仿宋" w:cs="仿宋"/>
          <w:b/>
          <w:bCs/>
          <w:color w:val="auto"/>
          <w:sz w:val="24"/>
          <w:highlight w:val="none"/>
        </w:rPr>
        <w:t>正本</w:t>
      </w:r>
      <w:r>
        <w:rPr>
          <w:rFonts w:hint="eastAsia" w:ascii="仿宋" w:hAnsi="仿宋" w:eastAsia="仿宋" w:cs="仿宋"/>
          <w:b/>
          <w:bCs/>
          <w:color w:val="auto"/>
          <w:sz w:val="24"/>
          <w:highlight w:val="none"/>
          <w:u w:val="single"/>
        </w:rPr>
        <w:t>壹</w:t>
      </w:r>
      <w:r>
        <w:rPr>
          <w:rFonts w:hint="eastAsia" w:ascii="仿宋" w:hAnsi="仿宋" w:eastAsia="仿宋" w:cs="仿宋"/>
          <w:b/>
          <w:bCs/>
          <w:color w:val="auto"/>
          <w:sz w:val="24"/>
          <w:highlight w:val="none"/>
        </w:rPr>
        <w:t>份、副本</w:t>
      </w:r>
      <w:r>
        <w:rPr>
          <w:rFonts w:hint="eastAsia" w:ascii="仿宋" w:hAnsi="仿宋" w:eastAsia="仿宋" w:cs="仿宋"/>
          <w:b/>
          <w:bCs/>
          <w:color w:val="auto"/>
          <w:sz w:val="24"/>
          <w:highlight w:val="none"/>
          <w:u w:val="single"/>
        </w:rPr>
        <w:t>贰</w:t>
      </w:r>
      <w:r>
        <w:rPr>
          <w:rFonts w:hint="eastAsia" w:ascii="仿宋" w:hAnsi="仿宋" w:eastAsia="仿宋" w:cs="仿宋"/>
          <w:b/>
          <w:bCs/>
          <w:color w:val="auto"/>
          <w:sz w:val="24"/>
          <w:highlight w:val="none"/>
        </w:rPr>
        <w:t>份、</w:t>
      </w:r>
      <w:r>
        <w:rPr>
          <w:rFonts w:hint="eastAsia" w:ascii="仿宋" w:hAnsi="仿宋" w:eastAsia="仿宋" w:cs="仿宋"/>
          <w:bCs/>
          <w:color w:val="auto"/>
          <w:sz w:val="24"/>
          <w:highlight w:val="none"/>
        </w:rPr>
        <w:t>并在其封面上清楚地标明资格性响应文件、采购项目名称、采购编号、包件号及名称（若有）、供应商名称以及“正本”或“副本”字样。若正本和副本有不一致的内容，以正本书面响应文件为准。</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18.2 其他响应</w:t>
      </w:r>
      <w:r>
        <w:rPr>
          <w:rFonts w:hint="eastAsia" w:ascii="仿宋" w:hAnsi="仿宋" w:eastAsia="仿宋" w:cs="仿宋"/>
          <w:bCs/>
          <w:color w:val="auto"/>
          <w:sz w:val="24"/>
          <w:highlight w:val="none"/>
          <w:lang w:val="en-US" w:eastAsia="zh-CN"/>
        </w:rPr>
        <w:t>性</w:t>
      </w:r>
      <w:r>
        <w:rPr>
          <w:rFonts w:hint="eastAsia" w:ascii="仿宋" w:hAnsi="仿宋" w:eastAsia="仿宋" w:cs="仿宋"/>
          <w:bCs/>
          <w:color w:val="auto"/>
          <w:sz w:val="24"/>
          <w:highlight w:val="none"/>
        </w:rPr>
        <w:t>文件</w:t>
      </w:r>
      <w:r>
        <w:rPr>
          <w:rFonts w:hint="eastAsia" w:ascii="仿宋" w:hAnsi="仿宋" w:eastAsia="仿宋" w:cs="仿宋"/>
          <w:b/>
          <w:bCs w:val="0"/>
          <w:color w:val="auto"/>
          <w:sz w:val="24"/>
          <w:highlight w:val="none"/>
        </w:rPr>
        <w:t>正本</w:t>
      </w:r>
      <w:r>
        <w:rPr>
          <w:rFonts w:hint="eastAsia" w:ascii="仿宋" w:hAnsi="仿宋" w:eastAsia="仿宋" w:cs="仿宋"/>
          <w:b/>
          <w:bCs w:val="0"/>
          <w:color w:val="auto"/>
          <w:sz w:val="24"/>
          <w:highlight w:val="none"/>
          <w:u w:val="single"/>
        </w:rPr>
        <w:t>壹</w:t>
      </w:r>
      <w:r>
        <w:rPr>
          <w:rFonts w:hint="eastAsia" w:ascii="仿宋" w:hAnsi="仿宋" w:eastAsia="仿宋" w:cs="仿宋"/>
          <w:b/>
          <w:bCs w:val="0"/>
          <w:color w:val="auto"/>
          <w:sz w:val="24"/>
          <w:highlight w:val="none"/>
        </w:rPr>
        <w:t>份</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rPr>
        <w:t>副本</w:t>
      </w:r>
      <w:r>
        <w:rPr>
          <w:rFonts w:hint="eastAsia" w:ascii="仿宋" w:hAnsi="仿宋" w:eastAsia="仿宋" w:cs="仿宋"/>
          <w:b/>
          <w:bCs w:val="0"/>
          <w:color w:val="auto"/>
          <w:sz w:val="24"/>
          <w:highlight w:val="none"/>
          <w:u w:val="single"/>
        </w:rPr>
        <w:t>贰</w:t>
      </w:r>
      <w:r>
        <w:rPr>
          <w:rFonts w:hint="eastAsia" w:ascii="仿宋" w:hAnsi="仿宋" w:eastAsia="仿宋" w:cs="仿宋"/>
          <w:b/>
          <w:bCs w:val="0"/>
          <w:color w:val="auto"/>
          <w:sz w:val="24"/>
          <w:highlight w:val="none"/>
        </w:rPr>
        <w:t>份</w:t>
      </w:r>
      <w:r>
        <w:rPr>
          <w:rFonts w:hint="eastAsia" w:ascii="仿宋" w:hAnsi="仿宋" w:eastAsia="仿宋" w:cs="仿宋"/>
          <w:bCs/>
          <w:color w:val="auto"/>
          <w:sz w:val="24"/>
          <w:highlight w:val="none"/>
        </w:rPr>
        <w:t>，并在其封面上清楚地标明其他响应文件、采购项目名称、采购编号、包件号及名称（若有）、供应商名称以及“正本”或“副本”字样。若正本和副本有不一致的内容，以正本书面响应文件为准。</w:t>
      </w:r>
    </w:p>
    <w:bookmarkEnd w:id="49"/>
    <w:bookmarkEnd w:id="50"/>
    <w:bookmarkEnd w:id="51"/>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18.3 响应文件正本和副本均需在规定签章处签字和盖章。响应文件副本可采用正本的复印件；</w:t>
      </w:r>
      <w:r>
        <w:rPr>
          <w:rFonts w:hint="eastAsia" w:ascii="仿宋" w:hAnsi="仿宋" w:eastAsia="仿宋" w:cs="仿宋"/>
          <w:b w:val="0"/>
          <w:bCs/>
          <w:color w:val="auto"/>
          <w:sz w:val="24"/>
          <w:highlight w:val="none"/>
        </w:rPr>
        <w:t>电子文档壹份，</w:t>
      </w:r>
      <w:r>
        <w:rPr>
          <w:rFonts w:hint="eastAsia" w:ascii="仿宋" w:hAnsi="仿宋" w:eastAsia="仿宋" w:cs="仿宋"/>
          <w:b w:val="0"/>
          <w:bCs/>
          <w:color w:val="auto"/>
          <w:sz w:val="24"/>
          <w:highlight w:val="none"/>
          <w:lang w:val="en-US" w:eastAsia="zh-CN"/>
        </w:rPr>
        <w:t>响应文件正本签字盖章后扫描为PDF格式存入U盘并单独密封递交</w:t>
      </w:r>
      <w:r>
        <w:rPr>
          <w:rFonts w:hint="eastAsia" w:ascii="仿宋" w:hAnsi="仿宋" w:eastAsia="仿宋" w:cs="仿宋"/>
          <w:bCs/>
          <w:color w:val="auto"/>
          <w:sz w:val="24"/>
          <w:highlight w:val="none"/>
        </w:rPr>
        <w:t>。</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18.4</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响应文件的打印和书写应清楚工整，任何行间插字、涂改或增删，必须由供应商的法定代表人或其授权代表签字并盖供应商公章。</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18.5</w:t>
      </w:r>
      <w:r>
        <w:rPr>
          <w:rFonts w:hint="eastAsia" w:ascii="仿宋" w:hAnsi="仿宋" w:eastAsia="仿宋" w:cs="仿宋"/>
          <w:b/>
          <w:bCs w:val="0"/>
          <w:color w:val="auto"/>
          <w:sz w:val="24"/>
          <w:highlight w:val="none"/>
          <w:lang w:val="en-US" w:eastAsia="zh-CN"/>
        </w:rPr>
        <w:t xml:space="preserve"> </w:t>
      </w:r>
      <w:r>
        <w:rPr>
          <w:rFonts w:hint="eastAsia" w:ascii="仿宋" w:hAnsi="仿宋" w:eastAsia="仿宋" w:cs="仿宋"/>
          <w:b/>
          <w:bCs w:val="0"/>
          <w:color w:val="auto"/>
          <w:sz w:val="24"/>
          <w:highlight w:val="none"/>
        </w:rPr>
        <w:t>响应文件应由供应商法定代表人或主要负责人或其授权代表在响应文件要求的地方签字（或加盖私人印章），要求加盖公章的地方加盖单位公章，不得使用专用章（如经济合同章、投标专用章等）或下属单位印章代替。</w:t>
      </w:r>
      <w:r>
        <w:rPr>
          <w:rFonts w:hint="eastAsia" w:ascii="仿宋" w:hAnsi="仿宋" w:eastAsia="仿宋" w:cs="仿宋"/>
          <w:b/>
          <w:color w:val="auto"/>
          <w:sz w:val="24"/>
          <w:highlight w:val="none"/>
        </w:rPr>
        <w:t>（实质性要求）</w:t>
      </w:r>
    </w:p>
    <w:p>
      <w:pPr>
        <w:spacing w:line="400" w:lineRule="exact"/>
        <w:ind w:firstLine="468" w:firstLineChars="195"/>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18.6</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响应文件正本和副本需要逐页编目编码。</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响应文件正本和副本应当采用胶装方式装订成册，不得散装或者合页装订。</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18.8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响应文件应根据磋商文件的要求制作，签署、盖章。（</w:t>
      </w:r>
      <w:r>
        <w:rPr>
          <w:rFonts w:hint="eastAsia" w:ascii="仿宋" w:hAnsi="仿宋" w:eastAsia="仿宋" w:cs="仿宋"/>
          <w:b/>
          <w:color w:val="auto"/>
          <w:sz w:val="24"/>
          <w:highlight w:val="none"/>
        </w:rPr>
        <w:t>实质性要求）</w:t>
      </w:r>
    </w:p>
    <w:p>
      <w:pPr>
        <w:tabs>
          <w:tab w:val="left" w:pos="1080"/>
        </w:tabs>
        <w:spacing w:line="400" w:lineRule="exact"/>
        <w:ind w:firstLine="460" w:firstLineChars="192"/>
        <w:outlineLvl w:val="2"/>
        <w:rPr>
          <w:rFonts w:hint="eastAsia" w:ascii="仿宋" w:hAnsi="仿宋" w:eastAsia="仿宋" w:cs="仿宋"/>
          <w:b/>
          <w:color w:val="auto"/>
          <w:sz w:val="24"/>
          <w:highlight w:val="none"/>
        </w:rPr>
      </w:pPr>
      <w:r>
        <w:rPr>
          <w:rFonts w:hint="eastAsia" w:ascii="仿宋" w:hAnsi="仿宋" w:eastAsia="仿宋" w:cs="仿宋"/>
          <w:color w:val="auto"/>
          <w:sz w:val="24"/>
          <w:highlight w:val="none"/>
        </w:rPr>
        <w:t>18.9</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响应文件统一用A4幅面纸印制，除另有规定外。</w:t>
      </w:r>
      <w:bookmarkStart w:id="52" w:name="_Toc77400781"/>
      <w:bookmarkStart w:id="53" w:name="_Toc217446053"/>
      <w:bookmarkStart w:id="54" w:name="_Toc183682363"/>
      <w:bookmarkStart w:id="55" w:name="_Toc183582226"/>
      <w:bookmarkStart w:id="56" w:name="_Toc89075877"/>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19.响应文件的密封和标注（不属于本项目磋商小组评审范畴，由采购人、采购代理机构在接收响应文件时及时处理）</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19.1 响应文件可以单独密封包装，也可以所有响应文件密封包装在一个密封袋内。</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19.2 响应文件密封袋的最外层应清楚地标明采购项目名称、采购编号、包件号及名称（若有）、供应商名称。</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19.3 所有外层密封袋的封口处应粘贴牢固。</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19.4 未按以上要求进行密封和标注的响应文件，采购人、采购代理机构将拒收或者在时间允许的范围内，要求修改完善后接收。</w:t>
      </w:r>
    </w:p>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20.响应文件的递交</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20.1 资格性响应文件和其他响应文件应于递交响应文件截止时间前送达指定地点，采购代理机构拒绝接收截止时间后送达的响应文件。</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20.2 采购代理机构将向通过资格审查的供应商发出磋商邀请；告知未通过资格审查的供应商未通过的原因。</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20.3 报价表在磋商后，磋商小组要求供应商进行最后报价时递交。</w:t>
      </w:r>
    </w:p>
    <w:p>
      <w:pPr>
        <w:tabs>
          <w:tab w:val="left" w:pos="1080"/>
        </w:tabs>
        <w:spacing w:line="400" w:lineRule="exact"/>
        <w:ind w:firstLine="460" w:firstLineChars="192"/>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20.4 本次采购不接收邮寄的响应文件。</w:t>
      </w:r>
    </w:p>
    <w:bookmarkEnd w:id="52"/>
    <w:bookmarkEnd w:id="53"/>
    <w:bookmarkEnd w:id="54"/>
    <w:bookmarkEnd w:id="55"/>
    <w:bookmarkEnd w:id="56"/>
    <w:p>
      <w:pPr>
        <w:pStyle w:val="4"/>
        <w:keepNext w:val="0"/>
        <w:keepLines w:val="0"/>
        <w:spacing w:before="0" w:after="0" w:line="400" w:lineRule="exact"/>
        <w:ind w:firstLine="480" w:firstLineChars="200"/>
        <w:rPr>
          <w:rFonts w:hint="eastAsia" w:ascii="仿宋" w:hAnsi="仿宋" w:eastAsia="仿宋" w:cs="仿宋"/>
          <w:color w:val="auto"/>
          <w:sz w:val="24"/>
          <w:highlight w:val="none"/>
        </w:rPr>
      </w:pPr>
      <w:bookmarkStart w:id="57" w:name="_Toc217446055"/>
      <w:bookmarkStart w:id="58" w:name="_Toc183582228"/>
      <w:bookmarkStart w:id="59" w:name="_Toc183682365"/>
      <w:r>
        <w:rPr>
          <w:rFonts w:hint="eastAsia" w:ascii="仿宋" w:hAnsi="仿宋" w:eastAsia="仿宋" w:cs="仿宋"/>
          <w:color w:val="auto"/>
          <w:sz w:val="24"/>
          <w:highlight w:val="none"/>
        </w:rPr>
        <w:t>21.响应文件的修改和撤回（补充、修改响应文件的密封和标注按照本章“19.响应文件的密封和标注”规定处理）</w:t>
      </w:r>
    </w:p>
    <w:p>
      <w:pPr>
        <w:pStyle w:val="5"/>
        <w:spacing w:line="400" w:lineRule="exact"/>
        <w:ind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21.2供应商对响应文件修改的书面材料或撤回的通知应该按规定进行编写、密封、标注和递送，并注明“修改响应文件”字样。</w:t>
      </w:r>
    </w:p>
    <w:p>
      <w:pPr>
        <w:adjustRightInd w:val="0"/>
        <w:snapToGrid w:val="0"/>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21.3供应商不得在递交截止时间起至响应文件有效期期满前撤销其响应文件。否则其磋商保证金将按相关规定被没收。</w:t>
      </w:r>
    </w:p>
    <w:p>
      <w:pPr>
        <w:spacing w:line="400" w:lineRule="exact"/>
        <w:ind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21.4 响应文件中报价如果出现下列不一致的，可按以下原则进行修改：</w:t>
      </w:r>
    </w:p>
    <w:p>
      <w:pPr>
        <w:spacing w:line="400" w:lineRule="exact"/>
        <w:ind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kern w:val="0"/>
          <w:sz w:val="24"/>
          <w:highlight w:val="none"/>
        </w:rPr>
        <w:t>大写金额和小写金额不一致的，以大写金额为准</w:t>
      </w:r>
      <w:r>
        <w:rPr>
          <w:rFonts w:hint="eastAsia" w:ascii="仿宋" w:hAnsi="仿宋" w:eastAsia="仿宋" w:cs="仿宋"/>
          <w:color w:val="auto"/>
          <w:sz w:val="24"/>
          <w:highlight w:val="none"/>
        </w:rPr>
        <w:t>，但大写金额文字存在错误的，应当先对大写金额的文字错误进行澄清、说明或者更正，再行修正。</w:t>
      </w:r>
    </w:p>
    <w:p>
      <w:pPr>
        <w:spacing w:line="400" w:lineRule="exact"/>
        <w:ind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kern w:val="0"/>
          <w:sz w:val="24"/>
          <w:highlight w:val="none"/>
        </w:rPr>
        <w:t>总价金额与按单价汇总金额不一致的，以单价金额计算结果为准，</w:t>
      </w:r>
      <w:r>
        <w:rPr>
          <w:rFonts w:hint="eastAsia" w:ascii="仿宋" w:hAnsi="仿宋" w:eastAsia="仿宋" w:cs="仿宋"/>
          <w:color w:val="auto"/>
          <w:sz w:val="24"/>
          <w:highlight w:val="none"/>
        </w:rPr>
        <w:t>但</w:t>
      </w:r>
      <w:r>
        <w:rPr>
          <w:rFonts w:hint="eastAsia" w:ascii="仿宋" w:hAnsi="仿宋" w:eastAsia="仿宋" w:cs="仿宋"/>
          <w:color w:val="auto"/>
          <w:kern w:val="0"/>
          <w:sz w:val="24"/>
          <w:highlight w:val="none"/>
        </w:rPr>
        <w:t>单价或者单价汇总金额存在数字或者</w:t>
      </w:r>
      <w:r>
        <w:rPr>
          <w:rFonts w:hint="eastAsia" w:ascii="仿宋" w:hAnsi="仿宋" w:eastAsia="仿宋" w:cs="仿宋"/>
          <w:color w:val="auto"/>
          <w:sz w:val="24"/>
          <w:highlight w:val="none"/>
        </w:rPr>
        <w:t>文字错误的，应当先对</w:t>
      </w:r>
      <w:r>
        <w:rPr>
          <w:rFonts w:hint="eastAsia" w:ascii="仿宋" w:hAnsi="仿宋" w:eastAsia="仿宋" w:cs="仿宋"/>
          <w:color w:val="auto"/>
          <w:kern w:val="0"/>
          <w:sz w:val="24"/>
          <w:highlight w:val="none"/>
        </w:rPr>
        <w:t>数字或者</w:t>
      </w:r>
      <w:r>
        <w:rPr>
          <w:rFonts w:hint="eastAsia" w:ascii="仿宋" w:hAnsi="仿宋" w:eastAsia="仿宋" w:cs="仿宋"/>
          <w:color w:val="auto"/>
          <w:sz w:val="24"/>
          <w:highlight w:val="none"/>
        </w:rPr>
        <w:t>文字错误进行澄清、说明或者更正，再行修正。</w:t>
      </w:r>
    </w:p>
    <w:p>
      <w:pPr>
        <w:spacing w:line="400" w:lineRule="exact"/>
        <w:ind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（三）单价金额小数点</w:t>
      </w:r>
      <w:r>
        <w:rPr>
          <w:rFonts w:hint="eastAsia" w:ascii="仿宋" w:hAnsi="仿宋" w:eastAsia="仿宋" w:cs="仿宋"/>
          <w:color w:val="auto"/>
          <w:kern w:val="0"/>
          <w:sz w:val="24"/>
          <w:highlight w:val="none"/>
        </w:rPr>
        <w:t>或者百分比有明显错位的</w:t>
      </w:r>
      <w:r>
        <w:rPr>
          <w:rFonts w:hint="eastAsia" w:ascii="仿宋" w:hAnsi="仿宋" w:eastAsia="仿宋" w:cs="仿宋"/>
          <w:color w:val="auto"/>
          <w:sz w:val="24"/>
          <w:highlight w:val="none"/>
        </w:rPr>
        <w:t>，以总价为准，修正单价。</w:t>
      </w:r>
    </w:p>
    <w:p>
      <w:pPr>
        <w:spacing w:line="400" w:lineRule="exact"/>
        <w:ind w:firstLine="480" w:firstLineChars="200"/>
        <w:jc w:val="left"/>
        <w:outlineLvl w:val="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21.5供应商对其提交的响应文件的真实性、合法性承担法律责任。</w:t>
      </w:r>
      <w:bookmarkEnd w:id="57"/>
      <w:bookmarkEnd w:id="58"/>
      <w:bookmarkEnd w:id="59"/>
    </w:p>
    <w:p>
      <w:pPr>
        <w:pStyle w:val="4"/>
        <w:keepNext w:val="0"/>
        <w:keepLines w:val="0"/>
        <w:spacing w:before="0" w:after="0" w:line="400" w:lineRule="exact"/>
        <w:jc w:val="center"/>
        <w:rPr>
          <w:rFonts w:hint="eastAsia" w:ascii="仿宋" w:hAnsi="仿宋" w:eastAsia="仿宋" w:cs="仿宋"/>
          <w:color w:val="auto"/>
          <w:sz w:val="28"/>
          <w:szCs w:val="28"/>
          <w:highlight w:val="none"/>
        </w:rPr>
      </w:pPr>
      <w:bookmarkStart w:id="60" w:name="_Toc77400782"/>
      <w:bookmarkStart w:id="61" w:name="_Toc183682368"/>
      <w:bookmarkStart w:id="62" w:name="_Toc217446056"/>
      <w:bookmarkStart w:id="63" w:name="_Toc89075878"/>
      <w:bookmarkStart w:id="64" w:name="_Toc183582231"/>
      <w:r>
        <w:rPr>
          <w:rFonts w:hint="eastAsia" w:ascii="仿宋" w:hAnsi="仿宋" w:eastAsia="仿宋" w:cs="仿宋"/>
          <w:color w:val="auto"/>
          <w:sz w:val="28"/>
          <w:szCs w:val="28"/>
          <w:highlight w:val="none"/>
        </w:rPr>
        <w:t>五、评审</w:t>
      </w:r>
    </w:p>
    <w:p>
      <w:pPr>
        <w:pStyle w:val="4"/>
        <w:keepNext w:val="0"/>
        <w:keepLines w:val="0"/>
        <w:spacing w:before="0" w:after="0"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22.</w:t>
      </w:r>
      <w:r>
        <w:rPr>
          <w:rFonts w:hint="eastAsia" w:ascii="仿宋" w:hAnsi="仿宋" w:eastAsia="仿宋" w:cs="仿宋"/>
          <w:b w:val="0"/>
          <w:color w:val="auto"/>
          <w:sz w:val="24"/>
          <w:szCs w:val="24"/>
          <w:highlight w:val="none"/>
        </w:rPr>
        <w:t>磋商小组的组建及其评审工作按照有关法律制度和本文件第八章的规定进行。</w:t>
      </w:r>
    </w:p>
    <w:p>
      <w:pPr>
        <w:pStyle w:val="4"/>
        <w:keepNext w:val="0"/>
        <w:keepLines w:val="0"/>
        <w:spacing w:before="0" w:after="0"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六、成交事项</w:t>
      </w:r>
    </w:p>
    <w:p>
      <w:pPr>
        <w:pStyle w:val="4"/>
        <w:keepNext w:val="0"/>
        <w:keepLines w:val="0"/>
        <w:spacing w:before="0"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23.确定成交供应商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采购人授权磋商小组根据综合评分排名直接确定成交供应商。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23.1采购代理机构自评审结束后2个工作日内将磋商报告及有关资料送交采购人确定成交供应商。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23.2采购人收到磋商报告及有关资料后，将在5个工作日内按照磋商报告中推荐的成交候选供应商顺序确定成交供应商。成交候选供应商并列的，采购人自主选择成交供应商。采购人逾期未确定成交供应商且不提出异议的，视为确定磋商报告提出的排序第一的供应商为成交供应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23.3采购人确定成交供应商过程中，发现成交候选供应商有下列情形之一的，应当不予确定其为成交供应商：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（1）发现成交候选供应商存在禁止参加本项目采购活动的违法行为的；</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（2）成交候选供应商因不可抗力，不能继续参加采购活动；</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（3）成交候选供应商无偿赠与或者低于成本价竞争；</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（4）成交候选供应商提供虚假材料；</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（5）成交候选供应商恶意串通。</w:t>
      </w:r>
    </w:p>
    <w:p>
      <w:pPr>
        <w:spacing w:line="400" w:lineRule="exact"/>
        <w:ind w:firstLine="480" w:firstLineChars="200"/>
        <w:outlineLvl w:val="2"/>
        <w:rPr>
          <w:rFonts w:hint="eastAsia" w:ascii="仿宋" w:hAnsi="仿宋" w:eastAsia="仿宋" w:cs="仿宋"/>
          <w:color w:val="auto"/>
          <w:highlight w:val="none"/>
        </w:rPr>
      </w:pPr>
      <w:r>
        <w:rPr>
          <w:rFonts w:hint="eastAsia" w:ascii="仿宋" w:hAnsi="仿宋" w:eastAsia="仿宋" w:cs="仿宋"/>
          <w:color w:val="auto"/>
          <w:sz w:val="24"/>
          <w:szCs w:val="32"/>
          <w:highlight w:val="none"/>
        </w:rPr>
        <w:t>成交候选供应商有本条情形之一的，采购人可以确定后一位成交候选供应商为成交供应商，</w:t>
      </w:r>
      <w:r>
        <w:rPr>
          <w:rFonts w:hint="eastAsia" w:ascii="仿宋" w:hAnsi="仿宋" w:eastAsia="仿宋" w:cs="仿宋"/>
          <w:color w:val="auto"/>
          <w:sz w:val="24"/>
          <w:szCs w:val="32"/>
          <w:highlight w:val="none"/>
          <w:lang w:val="en-US" w:eastAsia="zh-CN"/>
        </w:rPr>
        <w:t>也可以</w:t>
      </w:r>
      <w:r>
        <w:rPr>
          <w:rFonts w:hint="eastAsia" w:ascii="仿宋" w:hAnsi="仿宋" w:eastAsia="仿宋" w:cs="仿宋"/>
          <w:color w:val="auto"/>
          <w:sz w:val="24"/>
          <w:szCs w:val="32"/>
          <w:highlight w:val="none"/>
        </w:rPr>
        <w:t>重新组织采购。</w:t>
      </w:r>
    </w:p>
    <w:p>
      <w:pPr>
        <w:pStyle w:val="4"/>
        <w:keepNext w:val="0"/>
        <w:keepLines w:val="0"/>
        <w:spacing w:before="0"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24.行贿犯罪档案查询</w:t>
      </w:r>
    </w:p>
    <w:p>
      <w:pPr>
        <w:spacing w:line="400" w:lineRule="exact"/>
        <w:ind w:firstLine="484" w:firstLineChars="202"/>
        <w:outlineLvl w:val="2"/>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eastAsia="zh-CN"/>
        </w:rPr>
        <w:t>（</w:t>
      </w:r>
      <w:r>
        <w:rPr>
          <w:rFonts w:hint="eastAsia" w:ascii="仿宋" w:hAnsi="仿宋" w:eastAsia="仿宋" w:cs="仿宋"/>
          <w:b/>
          <w:bCs/>
          <w:color w:val="auto"/>
          <w:sz w:val="24"/>
          <w:szCs w:val="32"/>
          <w:highlight w:val="none"/>
          <w:lang w:eastAsia="zh-CN"/>
        </w:rPr>
        <w:t>本项目不作要求</w:t>
      </w:r>
      <w:r>
        <w:rPr>
          <w:rFonts w:hint="eastAsia" w:ascii="仿宋" w:hAnsi="仿宋" w:eastAsia="仿宋" w:cs="仿宋"/>
          <w:color w:val="auto"/>
          <w:sz w:val="24"/>
          <w:szCs w:val="32"/>
          <w:highlight w:val="none"/>
          <w:lang w:eastAsia="zh-CN"/>
        </w:rPr>
        <w:t>）</w:t>
      </w:r>
    </w:p>
    <w:p>
      <w:pPr>
        <w:pStyle w:val="4"/>
        <w:keepNext w:val="0"/>
        <w:keepLines w:val="0"/>
        <w:spacing w:before="0"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25.成交结果</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25.1采购人确定成交供应商后，将及时书面通知采购代理机构，发出成交通知书并发布成交结果公告。</w:t>
      </w:r>
    </w:p>
    <w:p>
      <w:pPr>
        <w:pStyle w:val="4"/>
        <w:keepNext w:val="0"/>
        <w:keepLines w:val="0"/>
        <w:spacing w:before="0" w:after="0"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25.2成交供应商应当及时领取成交通知书。需要交纳履约保证金的，成交供应商应当及时向采购人交纳。</w:t>
      </w:r>
    </w:p>
    <w:p>
      <w:pPr>
        <w:pStyle w:val="4"/>
        <w:keepNext w:val="0"/>
        <w:keepLines w:val="0"/>
        <w:spacing w:before="0"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26.成交通知书</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26.1成交通知书为签订采购合同的依据之一，是合同的有效组成部分。</w:t>
      </w:r>
    </w:p>
    <w:p>
      <w:pPr>
        <w:pStyle w:val="4"/>
        <w:keepNext w:val="0"/>
        <w:keepLines w:val="0"/>
        <w:spacing w:before="0" w:after="0" w:line="40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26.2成交通知书对采购人和成交供应商均具有法律效力。成交通知书发出后，采购人无正当理由改变成交结果，或者成交供应商无正当理由放弃成交的，将承担相应的法律责任。</w:t>
      </w:r>
    </w:p>
    <w:p>
      <w:pPr>
        <w:pStyle w:val="4"/>
        <w:keepNext w:val="0"/>
        <w:keepLines w:val="0"/>
        <w:spacing w:before="0" w:after="0" w:line="400" w:lineRule="exact"/>
        <w:ind w:firstLine="480" w:firstLineChars="200"/>
        <w:rPr>
          <w:rFonts w:hint="eastAsia" w:ascii="仿宋" w:hAnsi="仿宋" w:eastAsia="仿宋" w:cs="仿宋"/>
          <w:color w:val="auto"/>
          <w:highlight w:val="none"/>
        </w:rPr>
      </w:pPr>
      <w:r>
        <w:rPr>
          <w:rFonts w:hint="eastAsia" w:ascii="仿宋" w:hAnsi="仿宋" w:eastAsia="仿宋" w:cs="仿宋"/>
          <w:b w:val="0"/>
          <w:color w:val="auto"/>
          <w:sz w:val="24"/>
          <w:szCs w:val="24"/>
          <w:highlight w:val="none"/>
        </w:rPr>
        <w:t>26.3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pPr>
        <w:pStyle w:val="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七、合同事项</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bookmarkStart w:id="65" w:name="_Toc101174151"/>
      <w:bookmarkStart w:id="66" w:name="_Toc101338364"/>
      <w:bookmarkStart w:id="67" w:name="_Toc209847069"/>
      <w:bookmarkStart w:id="68" w:name="_Toc430773927"/>
      <w:bookmarkStart w:id="69" w:name="_Toc101250646"/>
      <w:r>
        <w:rPr>
          <w:rFonts w:hint="eastAsia" w:ascii="仿宋" w:hAnsi="仿宋" w:eastAsia="仿宋" w:cs="仿宋"/>
          <w:color w:val="auto"/>
          <w:sz w:val="24"/>
          <w:szCs w:val="24"/>
          <w:highlight w:val="none"/>
        </w:rPr>
        <w:t>27.签订合同</w:t>
      </w:r>
      <w:bookmarkEnd w:id="65"/>
      <w:bookmarkEnd w:id="66"/>
      <w:bookmarkEnd w:id="67"/>
      <w:bookmarkEnd w:id="68"/>
      <w:bookmarkEnd w:id="69"/>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27.1 成交供应商应在成交通知书发出之日起</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0日内与采购人签订采购合同。由于成交供应商的原因逾期未与采购人签订采购合同的，将视为放弃成交，取消其成交资格并将按相关规定进行处理。</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27.2 磋商文件、成交供应商的响应文件及双方确认的澄清文件等，均为有法律约束力的合同组成部分。</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成交供应商因不可抗力原因不能履行采购合同或放弃成交的，采购人可以与排在成交供应商之后第一位的成交候选人签订采购合同，以此类推。</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竞争性磋商文件、成交供应商提交的响应文件、磋商中的最后报价、成交供应商承诺书、成交通知书等均称为有法律约束力的合同组成内容。</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28.合同分包（实质性要求）</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分包履行合同的部分应当为采购项目的非主体、非关键性工作，不属于成交供应商的主要合同义务。</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28.2 采购合同实行分包履行的，成交供应商就采购项目和分包项目向采购人负责，分包供应商就分包项目承担责任。</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29.合同转包（实质性要求）</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成交供应商转包的，视同拒绝履行采购合同义务，将依法追究法律责任。</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30.补充合同</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合同履行过程中，采购人需要追加与合同标的相同的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31.履约保证金（实质性要求）</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31.1 成交供应商应在合同签订之前交纳采购文件规定数额的履约保证金。</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31.2 如果成交供应商在规定的合同签订时间内，没有按照采购文件的规定交纳履约保证金，且又无正当理由的，将视为放弃成交。</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34.履行合同</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34.1 成交供应商与采购人签订合同后，合同双方应严格执行合同条款，履行合同规定的义务，保证合同的顺利完成。</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34.2 在合同履行过程中，如发生合同纠纷，合同双方应按照《中华人民共和国民法典》的有关规定进行处理。</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35.验收</w:t>
      </w:r>
    </w:p>
    <w:p>
      <w:pPr>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验收结果合格的，成交供应商凭履约验收合格证明材料到采购人处办理履约保证金的退付手续；验收结果不合格的，履约保证金将不予退还，也将不予支付采购资金。</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36.资金支付</w:t>
      </w:r>
    </w:p>
    <w:p>
      <w:pPr>
        <w:spacing w:line="400" w:lineRule="exact"/>
        <w:ind w:firstLine="480" w:firstLineChars="200"/>
        <w:outlineLvl w:val="2"/>
        <w:rPr>
          <w:rFonts w:hint="eastAsia" w:ascii="仿宋" w:hAnsi="仿宋" w:eastAsia="仿宋" w:cs="仿宋"/>
          <w:color w:val="auto"/>
          <w:highlight w:val="none"/>
        </w:rPr>
      </w:pPr>
      <w:r>
        <w:rPr>
          <w:rFonts w:hint="eastAsia" w:ascii="仿宋" w:hAnsi="仿宋" w:eastAsia="仿宋" w:cs="仿宋"/>
          <w:color w:val="auto"/>
          <w:sz w:val="24"/>
          <w:highlight w:val="none"/>
        </w:rPr>
        <w:t>采购人将按照采购合同规定，及时向成交供应商支付采购资金。</w:t>
      </w:r>
    </w:p>
    <w:p>
      <w:pPr>
        <w:pStyle w:val="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八、磋商纪律要求</w:t>
      </w:r>
    </w:p>
    <w:p>
      <w:pPr>
        <w:pStyle w:val="4"/>
        <w:keepNext w:val="0"/>
        <w:keepLines w:val="0"/>
        <w:spacing w:before="0" w:after="0"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37.供应商不得具有的情形</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供应商参加本项目磋商不得有下列情形：</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（1）提供虚假材料谋取成交；</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（2）采取不正当手段诋毁、排挤其他供应商；</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（3）与采购人、采购代理机构、或其他供应商恶意串通；</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（4）向采购人、采购代理机构、磋商小组成员行贿或者提供其他不正当利益；</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（5）在磋商过程中与采购人、采购代理机构进行协商；</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（6）成交后无正当理由拒不与采购人签订采购合同；</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（7）未按照磋商文件确定的事项签订采购合同；</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（8）将采购合同转包或者违规分包；</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（9）提供假冒伪劣产品；</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（10）擅自变更、中止或者终止采购合同；</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（11）拒绝有关部门的监督检查或者向监督检查部门提供虚假情况；</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（12）法律法规规定的其他情形。</w:t>
      </w:r>
    </w:p>
    <w:p>
      <w:pPr>
        <w:tabs>
          <w:tab w:val="left" w:pos="851"/>
        </w:tabs>
        <w:spacing w:line="400" w:lineRule="exact"/>
        <w:ind w:firstLine="480" w:firstLineChars="20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供应商有上述情形的，按照规定追究法律责任，具备（1）-（10）条情形之一的，同时将取消被确认为成交供应商的资格或者认定成交无效。</w:t>
      </w:r>
    </w:p>
    <w:p>
      <w:pPr>
        <w:pStyle w:val="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九、询问、质疑和投诉</w:t>
      </w:r>
    </w:p>
    <w:p>
      <w:pPr>
        <w:tabs>
          <w:tab w:val="left" w:pos="851"/>
        </w:tabs>
        <w:spacing w:line="400" w:lineRule="exact"/>
        <w:ind w:firstLine="495"/>
        <w:outlineLvl w:val="2"/>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38.询问、质疑、投诉的接收和处理</w:t>
      </w:r>
      <w:r>
        <w:rPr>
          <w:rFonts w:hint="eastAsia" w:ascii="仿宋" w:hAnsi="仿宋" w:eastAsia="仿宋" w:cs="仿宋"/>
          <w:color w:val="auto"/>
          <w:sz w:val="24"/>
          <w:highlight w:val="none"/>
          <w:lang w:val="en-US" w:eastAsia="zh-CN"/>
        </w:rPr>
        <w:t>按投标人须知前附表规定执行</w:t>
      </w:r>
      <w:r>
        <w:rPr>
          <w:rFonts w:hint="eastAsia" w:ascii="仿宋" w:hAnsi="仿宋" w:eastAsia="仿宋" w:cs="仿宋"/>
          <w:color w:val="auto"/>
          <w:sz w:val="24"/>
          <w:highlight w:val="none"/>
        </w:rPr>
        <w:t>。</w:t>
      </w:r>
    </w:p>
    <w:p>
      <w:pPr>
        <w:pStyle w:val="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十、其  他</w:t>
      </w:r>
    </w:p>
    <w:p>
      <w:pPr>
        <w:tabs>
          <w:tab w:val="left" w:pos="851"/>
        </w:tabs>
        <w:spacing w:line="400" w:lineRule="exact"/>
        <w:ind w:firstLine="480" w:firstLineChars="200"/>
        <w:jc w:val="left"/>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39.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2"/>
        <w:keepNext/>
        <w:keepLines/>
        <w:pageBreakBefore/>
        <w:widowControl w:val="0"/>
        <w:kinsoku/>
        <w:wordWrap/>
        <w:overflowPunct/>
        <w:topLinePunct w:val="0"/>
        <w:autoSpaceDE/>
        <w:autoSpaceDN/>
        <w:bidi w:val="0"/>
        <w:adjustRightInd/>
        <w:snapToGrid/>
        <w:spacing w:line="579" w:lineRule="auto"/>
        <w:jc w:val="center"/>
        <w:textAlignment w:val="auto"/>
        <w:rPr>
          <w:rFonts w:hint="eastAsia" w:ascii="仿宋" w:hAnsi="仿宋" w:eastAsia="仿宋" w:cs="仿宋"/>
          <w:color w:val="auto"/>
          <w:sz w:val="32"/>
          <w:szCs w:val="32"/>
          <w:highlight w:val="none"/>
        </w:rPr>
      </w:pPr>
      <w:bookmarkStart w:id="70" w:name="_Toc32250"/>
      <w:bookmarkStart w:id="71" w:name="_Toc26516"/>
      <w:r>
        <w:rPr>
          <w:rFonts w:hint="eastAsia" w:ascii="仿宋" w:hAnsi="仿宋" w:eastAsia="仿宋" w:cs="仿宋"/>
          <w:color w:val="auto"/>
          <w:sz w:val="32"/>
          <w:szCs w:val="32"/>
          <w:highlight w:val="none"/>
        </w:rPr>
        <w:t>第三章  供应商资格条件要求</w:t>
      </w:r>
      <w:bookmarkEnd w:id="70"/>
      <w:bookmarkEnd w:id="71"/>
    </w:p>
    <w:p>
      <w:pPr>
        <w:spacing w:line="400" w:lineRule="exac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一、参加磋商的供应商应具备下列资格条件：</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w:t>
      </w:r>
      <w:r>
        <w:rPr>
          <w:rFonts w:hint="eastAsia" w:ascii="仿宋" w:hAnsi="仿宋" w:eastAsia="仿宋" w:cs="仿宋"/>
          <w:color w:val="auto"/>
          <w:sz w:val="24"/>
          <w:highlight w:val="none"/>
          <w:lang w:val="en-US" w:eastAsia="zh-CN"/>
        </w:rPr>
        <w:t>需</w:t>
      </w:r>
      <w:r>
        <w:rPr>
          <w:rFonts w:hint="eastAsia" w:ascii="仿宋" w:hAnsi="仿宋" w:eastAsia="仿宋" w:cs="仿宋"/>
          <w:color w:val="auto"/>
          <w:sz w:val="24"/>
          <w:highlight w:val="none"/>
        </w:rPr>
        <w:t>的设备和专业技术能力；</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4.具有依法缴纳税收和社会保障资金的良好记录；</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5.参加采购活动前3年内，在经营活动中没有重大违法记录；</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r>
        <w:rPr>
          <w:rFonts w:hint="eastAsia" w:ascii="仿宋" w:hAnsi="仿宋" w:eastAsia="仿宋" w:cs="仿宋"/>
          <w:color w:val="auto"/>
          <w:sz w:val="24"/>
          <w:highlight w:val="none"/>
          <w:lang w:eastAsia="zh-CN"/>
        </w:rPr>
        <w:t>：供应商单位、现任法定代表人或主要负责人不得具有行贿犯罪记录</w:t>
      </w:r>
      <w:r>
        <w:rPr>
          <w:rFonts w:hint="eastAsia" w:ascii="仿宋" w:hAnsi="仿宋" w:eastAsia="仿宋" w:cs="仿宋"/>
          <w:color w:val="auto"/>
          <w:sz w:val="24"/>
          <w:highlight w:val="none"/>
        </w:rPr>
        <w:t>。</w:t>
      </w:r>
    </w:p>
    <w:p>
      <w:pPr>
        <w:spacing w:line="400" w:lineRule="exact"/>
        <w:ind w:firstLine="1020" w:firstLineChars="42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7.根据项目特殊要求设置的特定条件</w:t>
      </w:r>
      <w:r>
        <w:rPr>
          <w:rFonts w:hint="eastAsia" w:ascii="仿宋" w:hAnsi="仿宋" w:eastAsia="仿宋" w:cs="仿宋"/>
          <w:color w:val="auto"/>
          <w:sz w:val="24"/>
          <w:highlight w:val="none"/>
          <w:lang w:val="en-US" w:eastAsia="zh-CN"/>
        </w:rPr>
        <w:t>:</w:t>
      </w:r>
    </w:p>
    <w:p>
      <w:pPr>
        <w:pStyle w:val="66"/>
        <w:spacing w:line="360" w:lineRule="auto"/>
        <w:ind w:firstLine="960" w:firstLineChars="4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7.1供应商须具备国家行政主管部门颁发的建筑行业（建筑工程）设计乙级及以上资质；</w:t>
      </w:r>
    </w:p>
    <w:p>
      <w:pPr>
        <w:pStyle w:val="66"/>
        <w:spacing w:line="360" w:lineRule="auto"/>
        <w:ind w:firstLine="960" w:firstLineChars="400"/>
        <w:jc w:val="left"/>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7.2企业注册地不在四川省行政区域内的省外企业须提供在有效期内的四川省住房和城乡建设厅官网已公开的入川信息网页截图。</w:t>
      </w:r>
    </w:p>
    <w:p>
      <w:pPr>
        <w:spacing w:line="400" w:lineRule="exact"/>
        <w:ind w:firstLine="1020" w:firstLineChars="42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8.本项目不接受联合体参加磋商。</w:t>
      </w:r>
    </w:p>
    <w:p>
      <w:pPr>
        <w:spacing w:line="400" w:lineRule="exact"/>
        <w:ind w:firstLine="540" w:firstLineChars="225"/>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其他类似效力要求：</w:t>
      </w:r>
    </w:p>
    <w:p>
      <w:pPr>
        <w:pStyle w:val="31"/>
        <w:spacing w:line="400" w:lineRule="exact"/>
        <w:ind w:firstLine="1024" w:firstLineChars="427"/>
        <w:rPr>
          <w:rFonts w:hint="eastAsia" w:ascii="仿宋" w:hAnsi="仿宋" w:eastAsia="仿宋" w:cs="仿宋"/>
          <w:color w:val="auto"/>
          <w:highlight w:val="none"/>
        </w:rPr>
      </w:pPr>
      <w:r>
        <w:rPr>
          <w:rFonts w:hint="eastAsia" w:ascii="仿宋" w:hAnsi="仿宋" w:eastAsia="仿宋" w:cs="仿宋"/>
          <w:color w:val="auto"/>
          <w:kern w:val="2"/>
          <w:szCs w:val="24"/>
          <w:highlight w:val="none"/>
        </w:rPr>
        <w:t>1.授权参加本次投标活动的</w:t>
      </w:r>
      <w:r>
        <w:rPr>
          <w:rFonts w:hint="eastAsia" w:ascii="仿宋" w:hAnsi="仿宋" w:eastAsia="仿宋" w:cs="仿宋"/>
          <w:color w:val="auto"/>
          <w:kern w:val="2"/>
          <w:szCs w:val="24"/>
          <w:highlight w:val="none"/>
          <w:lang w:val="en-US" w:eastAsia="zh-CN"/>
        </w:rPr>
        <w:t>授权</w:t>
      </w:r>
      <w:r>
        <w:rPr>
          <w:rFonts w:hint="eastAsia" w:ascii="仿宋" w:hAnsi="仿宋" w:eastAsia="仿宋" w:cs="仿宋"/>
          <w:color w:val="auto"/>
          <w:kern w:val="2"/>
          <w:szCs w:val="24"/>
          <w:highlight w:val="none"/>
        </w:rPr>
        <w:t>代表证明材料</w:t>
      </w:r>
    </w:p>
    <w:p>
      <w:pPr>
        <w:spacing w:line="400" w:lineRule="exact"/>
        <w:ind w:firstLine="540" w:firstLineChars="22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2.其他供应商认为应该提供的其他资料</w:t>
      </w:r>
    </w:p>
    <w:p>
      <w:pPr>
        <w:spacing w:line="400" w:lineRule="exact"/>
        <w:ind w:firstLine="540" w:firstLineChars="225"/>
        <w:rPr>
          <w:rFonts w:hint="eastAsia" w:ascii="仿宋" w:hAnsi="仿宋" w:eastAsia="仿宋" w:cs="仿宋"/>
          <w:color w:val="auto"/>
          <w:sz w:val="24"/>
          <w:highlight w:val="none"/>
        </w:rPr>
      </w:pPr>
    </w:p>
    <w:p>
      <w:pPr>
        <w:spacing w:line="400" w:lineRule="exact"/>
        <w:ind w:firstLine="540" w:firstLineChars="22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供应商在参加采购活动前，被纳入法院、工商行政管理部门、税务部门、银行认定的失信名单且在有效期内，或者在前3年采购合同履约过程中及其他经营活动履约过程中未依法履约被有关行政部门处罚（处理）的，本项目不认定其具有良好的商业信誉。</w:t>
      </w:r>
    </w:p>
    <w:p>
      <w:pPr>
        <w:jc w:val="center"/>
        <w:rPr>
          <w:rFonts w:hint="eastAsia" w:ascii="仿宋" w:hAnsi="仿宋" w:eastAsia="仿宋" w:cs="仿宋"/>
          <w:color w:val="auto"/>
          <w:sz w:val="24"/>
          <w:highlight w:val="none"/>
        </w:rPr>
      </w:pPr>
    </w:p>
    <w:p>
      <w:pPr>
        <w:jc w:val="center"/>
        <w:rPr>
          <w:rFonts w:hint="eastAsia" w:ascii="仿宋" w:hAnsi="仿宋" w:eastAsia="仿宋" w:cs="仿宋"/>
          <w:color w:val="auto"/>
          <w:sz w:val="24"/>
          <w:highlight w:val="none"/>
        </w:rPr>
      </w:pPr>
    </w:p>
    <w:p>
      <w:pPr>
        <w:jc w:val="center"/>
        <w:rPr>
          <w:rFonts w:hint="eastAsia" w:ascii="仿宋" w:hAnsi="仿宋" w:eastAsia="仿宋" w:cs="仿宋"/>
          <w:color w:val="auto"/>
          <w:sz w:val="24"/>
          <w:highlight w:val="none"/>
        </w:rPr>
      </w:pPr>
    </w:p>
    <w:p>
      <w:pPr>
        <w:jc w:val="center"/>
        <w:rPr>
          <w:rFonts w:hint="eastAsia" w:ascii="仿宋" w:hAnsi="仿宋" w:eastAsia="仿宋" w:cs="仿宋"/>
          <w:color w:val="auto"/>
          <w:sz w:val="24"/>
          <w:highlight w:val="none"/>
        </w:rPr>
      </w:pPr>
    </w:p>
    <w:p>
      <w:pPr>
        <w:jc w:val="center"/>
        <w:rPr>
          <w:rFonts w:hint="eastAsia" w:ascii="仿宋" w:hAnsi="仿宋" w:eastAsia="仿宋" w:cs="仿宋"/>
          <w:color w:val="auto"/>
          <w:sz w:val="24"/>
          <w:highlight w:val="none"/>
        </w:rPr>
      </w:pPr>
    </w:p>
    <w:p>
      <w:pPr>
        <w:pStyle w:val="2"/>
        <w:spacing w:before="0"/>
        <w:jc w:val="center"/>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br w:type="page"/>
      </w:r>
      <w:bookmarkStart w:id="72" w:name="_Toc19914"/>
      <w:r>
        <w:rPr>
          <w:rFonts w:hint="eastAsia" w:ascii="仿宋" w:hAnsi="仿宋" w:eastAsia="仿宋" w:cs="仿宋"/>
          <w:color w:val="auto"/>
          <w:sz w:val="32"/>
          <w:szCs w:val="32"/>
          <w:highlight w:val="none"/>
        </w:rPr>
        <w:t>第四章  供应商资格证明材料</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一、供应商应提交的资格证明材料</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企业法人：提交“统一社会信用代码营业执照”；未换证的提交“营业执照、税务登记证、组织机构代码证”。事业法人：提交“统一社会信用代码法人登记证书”；未换证的提交“法人登记证书、组织机构代码证”。其他组织：提交“统一社会信用代码社会团体法人登记证书”或“统一社会信用代码民办非企业单位登记证书”或“统一社会信用代码基金会法人登记证书”；未换证的提交“社会团体法人登记证书”或“民办非企业单位登记证书”或“基金会法人登记证书”和“组织机构代码证”。（均为复印件</w:t>
      </w:r>
      <w:r>
        <w:rPr>
          <w:rFonts w:hint="eastAsia" w:ascii="仿宋" w:hAnsi="仿宋" w:eastAsia="仿宋" w:cs="仿宋"/>
          <w:color w:val="auto"/>
          <w:sz w:val="24"/>
          <w:highlight w:val="none"/>
          <w:lang w:eastAsia="zh-CN"/>
        </w:rPr>
        <w:t>加盖单位公章</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（2）具备良好商业信誉的证明材料</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提供承诺函（原件）</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）具备健全的财务会计制度的证明材料。｛注：①提供</w:t>
      </w:r>
      <w:r>
        <w:rPr>
          <w:rFonts w:hint="eastAsia" w:ascii="仿宋" w:hAnsi="仿宋" w:eastAsia="仿宋" w:cs="仿宋"/>
          <w:color w:val="auto"/>
          <w:sz w:val="24"/>
          <w:highlight w:val="none"/>
          <w:lang w:val="en-US" w:eastAsia="zh-CN"/>
        </w:rPr>
        <w:t>2023</w:t>
      </w:r>
      <w:r>
        <w:rPr>
          <w:rFonts w:hint="eastAsia" w:ascii="仿宋" w:hAnsi="仿宋" w:eastAsia="仿宋" w:cs="仿宋"/>
          <w:color w:val="auto"/>
          <w:sz w:val="24"/>
          <w:highlight w:val="none"/>
          <w:lang w:eastAsia="zh-CN"/>
        </w:rPr>
        <w:t>年度的财务报告复印件（包含审计报告和审计报告中所涉及的财务报表和报表附注），②也可提供截至投标文件递交截止日一年内银行出具的资信证明（复印件），③供应商注册时间截至投标文件递交截止日不足一年的，也可提供在工商备案的公司章程（复印件），④也可提供承诺函。｝</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）具有履行合同所必</w:t>
      </w:r>
      <w:r>
        <w:rPr>
          <w:rFonts w:hint="eastAsia" w:ascii="仿宋" w:hAnsi="仿宋" w:eastAsia="仿宋" w:cs="仿宋"/>
          <w:color w:val="auto"/>
          <w:sz w:val="24"/>
          <w:highlight w:val="none"/>
          <w:lang w:val="en-US" w:eastAsia="zh-CN"/>
        </w:rPr>
        <w:t>需</w:t>
      </w:r>
      <w:r>
        <w:rPr>
          <w:rFonts w:hint="eastAsia" w:ascii="仿宋" w:hAnsi="仿宋" w:eastAsia="仿宋" w:cs="仿宋"/>
          <w:color w:val="auto"/>
          <w:sz w:val="24"/>
          <w:highlight w:val="none"/>
        </w:rPr>
        <w:t>的设备和专业技术能力，</w:t>
      </w:r>
      <w:bookmarkStart w:id="73" w:name="_Hlk516492517"/>
      <w:r>
        <w:rPr>
          <w:rFonts w:hint="eastAsia" w:ascii="仿宋" w:hAnsi="仿宋" w:eastAsia="仿宋" w:cs="仿宋"/>
          <w:color w:val="auto"/>
          <w:sz w:val="24"/>
          <w:highlight w:val="none"/>
        </w:rPr>
        <w:t>提供承诺函(原件）</w:t>
      </w:r>
      <w:bookmarkEnd w:id="73"/>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）具有依法缴纳税收和社会保障资金的良好记录，提供承诺函(原件）；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）参加本次采购活动前3年内，在经营活动中没有重大违法记录，提供承诺函（原件）；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）满足法律、行政法规规定的其他条件：供应商单位、现任法定代表人或主要负责人不得具有行贿犯罪记录。（提供承诺函，格式自拟）</w:t>
      </w:r>
    </w:p>
    <w:p>
      <w:pPr>
        <w:pStyle w:val="66"/>
        <w:spacing w:line="360" w:lineRule="auto"/>
        <w:ind w:firstLine="240" w:firstLineChars="10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特定资质条件：1、</w:t>
      </w:r>
      <w:r>
        <w:rPr>
          <w:rFonts w:hint="eastAsia" w:ascii="仿宋" w:hAnsi="仿宋" w:eastAsia="仿宋" w:cs="仿宋"/>
          <w:color w:val="auto"/>
          <w:kern w:val="2"/>
          <w:sz w:val="24"/>
          <w:szCs w:val="24"/>
          <w:highlight w:val="none"/>
          <w:lang w:val="en-US" w:eastAsia="zh-CN" w:bidi="ar-SA"/>
        </w:rPr>
        <w:t>供应商须具备国家行政主管部门颁发的建筑行业（建筑工程）设计乙级及以上资质；（复印件加盖供应商公章）</w:t>
      </w:r>
    </w:p>
    <w:p>
      <w:pPr>
        <w:pStyle w:val="66"/>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2、企业注册地不在四川省行政区域内的省外企业须提供在有效期内的四川省住房和城乡建设厅官网已公开的入川信息网页截图。（加盖供应商公章）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二、其他类似效力要求相关证明材料：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（1）法定代表人身份证明原件。（法定代表人亲自投标适用）</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（2）法定代表人授权书原件及附件</w:t>
      </w:r>
      <w:r>
        <w:rPr>
          <w:rFonts w:hint="eastAsia" w:ascii="仿宋" w:hAnsi="仿宋" w:eastAsia="仿宋" w:cs="仿宋"/>
          <w:color w:val="auto"/>
          <w:sz w:val="24"/>
          <w:highlight w:val="none"/>
          <w:lang w:val="en-US" w:eastAsia="zh-CN"/>
        </w:rPr>
        <w:t>资料</w:t>
      </w:r>
      <w:r>
        <w:rPr>
          <w:rFonts w:hint="eastAsia" w:ascii="仿宋" w:hAnsi="仿宋" w:eastAsia="仿宋" w:cs="仿宋"/>
          <w:color w:val="auto"/>
          <w:sz w:val="24"/>
          <w:highlight w:val="none"/>
        </w:rPr>
        <w:t>（委托代理人投标适用）；</w:t>
      </w:r>
    </w:p>
    <w:p>
      <w:pPr>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2.本章要求提供的相关证明材料应当结合采购项目具体情况和供应商的组织机构性质确定，不得一概而论。</w:t>
      </w:r>
    </w:p>
    <w:p>
      <w:pPr>
        <w:pStyle w:val="2"/>
        <w:spacing w:line="400" w:lineRule="exact"/>
        <w:jc w:val="center"/>
        <w:rPr>
          <w:rFonts w:hint="eastAsia" w:ascii="仿宋" w:hAnsi="仿宋" w:eastAsia="仿宋" w:cs="仿宋"/>
          <w:color w:val="auto"/>
          <w:sz w:val="32"/>
          <w:szCs w:val="32"/>
          <w:highlight w:val="none"/>
        </w:rPr>
      </w:pPr>
      <w:bookmarkStart w:id="74" w:name="_Toc3250"/>
      <w:r>
        <w:rPr>
          <w:rFonts w:hint="eastAsia" w:ascii="仿宋" w:hAnsi="仿宋" w:eastAsia="仿宋" w:cs="仿宋"/>
          <w:color w:val="auto"/>
          <w:sz w:val="32"/>
          <w:szCs w:val="32"/>
          <w:highlight w:val="none"/>
        </w:rPr>
        <w:br w:type="page"/>
      </w:r>
      <w:bookmarkStart w:id="75" w:name="_Toc2963"/>
      <w:r>
        <w:rPr>
          <w:rFonts w:hint="eastAsia" w:ascii="仿宋" w:hAnsi="仿宋" w:eastAsia="仿宋" w:cs="仿宋"/>
          <w:color w:val="auto"/>
          <w:sz w:val="32"/>
          <w:szCs w:val="32"/>
          <w:highlight w:val="none"/>
        </w:rPr>
        <w:t>第五章  采购项目技术、服务、采购合同内容条款及其他商务要求</w:t>
      </w:r>
      <w:bookmarkEnd w:id="74"/>
      <w:bookmarkEnd w:id="75"/>
    </w:p>
    <w:bookmarkEnd w:id="60"/>
    <w:bookmarkEnd w:id="61"/>
    <w:bookmarkEnd w:id="62"/>
    <w:bookmarkEnd w:id="63"/>
    <w:bookmarkEnd w:id="64"/>
    <w:p>
      <w:pPr>
        <w:pageBreakBefore w:val="0"/>
        <w:kinsoku/>
        <w:overflowPunct/>
        <w:bidi w:val="0"/>
        <w:spacing w:line="360" w:lineRule="auto"/>
        <w:jc w:val="left"/>
        <w:textAlignment w:val="auto"/>
        <w:rPr>
          <w:rFonts w:hint="eastAsia" w:ascii="仿宋" w:hAnsi="仿宋" w:eastAsia="仿宋" w:cs="仿宋"/>
          <w:b/>
          <w:bCs/>
          <w:color w:val="auto"/>
          <w:sz w:val="24"/>
          <w:lang w:val="en-US" w:eastAsia="zh-CN"/>
        </w:rPr>
      </w:pPr>
      <w:bookmarkStart w:id="76" w:name="_Toc11740"/>
      <w:bookmarkStart w:id="77" w:name="_Toc183682369"/>
      <w:bookmarkStart w:id="78" w:name="_Toc217446057"/>
      <w:bookmarkStart w:id="79" w:name="_Toc183582232"/>
      <w:r>
        <w:rPr>
          <w:rFonts w:hint="eastAsia" w:ascii="仿宋" w:hAnsi="仿宋" w:eastAsia="仿宋" w:cs="仿宋"/>
          <w:b/>
          <w:bCs/>
          <w:color w:val="auto"/>
          <w:sz w:val="24"/>
        </w:rPr>
        <w:t>一、项目背景</w:t>
      </w:r>
      <w:r>
        <w:rPr>
          <w:rFonts w:hint="eastAsia" w:ascii="仿宋" w:hAnsi="仿宋" w:eastAsia="仿宋" w:cs="仿宋"/>
          <w:b/>
          <w:bCs/>
          <w:color w:val="auto"/>
          <w:sz w:val="24"/>
          <w:lang w:val="en-US" w:eastAsia="zh-CN"/>
        </w:rPr>
        <w:t>和建设规模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1、建设地址：市中区青江片区瑞祥路长途客运站旁50亩土地，拟利用该土地新建乐山市工人文化宫。</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建设内容：建筑面积约1万平方米，拟建设包括室内外篮球场、乒乓球场、游泳池等文体活动场地，室内设职工书屋、劳动纠纷调解室、职工书画创作室、健身房、舞蹈训练室、音乐室、台球室、棋艺室、直播室和多功能会议室等功能服务设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3、项目投资：项目建设投资约1亿元。</w:t>
      </w:r>
    </w:p>
    <w:p>
      <w:pPr>
        <w:pageBreakBefore w:val="0"/>
        <w:kinsoku/>
        <w:overflowPunct/>
        <w:bidi w:val="0"/>
        <w:spacing w:line="360" w:lineRule="auto"/>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rPr>
        <w:t>二、设计要求</w:t>
      </w:r>
    </w:p>
    <w:p>
      <w:pPr>
        <w:pageBreakBefore w:val="0"/>
        <w:kinsoku/>
        <w:overflowPunct/>
        <w:bidi w:val="0"/>
        <w:spacing w:line="360" w:lineRule="auto"/>
        <w:ind w:firstLine="480" w:firstLineChars="200"/>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1、设计</w:t>
      </w:r>
      <w:r>
        <w:rPr>
          <w:rFonts w:hint="eastAsia" w:ascii="仿宋" w:hAnsi="仿宋" w:eastAsia="仿宋" w:cs="仿宋"/>
          <w:b/>
          <w:bCs/>
          <w:color w:val="auto"/>
          <w:sz w:val="24"/>
        </w:rPr>
        <w:t>范围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rPr>
      </w:pPr>
      <w:r>
        <w:rPr>
          <w:rFonts w:hint="eastAsia" w:ascii="仿宋" w:hAnsi="仿宋" w:eastAsia="仿宋" w:cs="仿宋"/>
          <w:b w:val="0"/>
          <w:bCs w:val="0"/>
          <w:color w:val="auto"/>
          <w:sz w:val="24"/>
          <w:lang w:val="en-US" w:eastAsia="zh-CN"/>
        </w:rPr>
        <w:t>项目设计范围：乐山市工人文化宫整体概念性设计，包括室内外篮球场、乒乓球场、游泳池等文体活动场地，室内设职工书屋、劳动纠纷调解室、职工书画创作室、健身房、舞蹈训练室、音乐室、台球室、棋艺室、直播室和多功能会议室等功能服务设施。</w:t>
      </w:r>
    </w:p>
    <w:p>
      <w:pPr>
        <w:pageBreakBefore w:val="0"/>
        <w:kinsoku/>
        <w:overflowPunct/>
        <w:bidi w:val="0"/>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2.1、通过对项目背景的分析和解读，结合周围环境景观，打造具有乐山特色的乐山市工人文化宫。建筑布局合理，功能分区明确，交通组织顺畅，配套设施完善，满足各种功能使用要求；项目各建筑单体的平面布局应达到功能组织合理、动静分区明确、空间构成紧凑、日照通风良好、结合自然环境，有效组织建筑的室内外空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2.2、在满足规划管理和建筑设计规范要求下，建筑内部应合理分区并有效组织各部分功能空间。平面布局应合理规划流线，合理分流人行和车行流线，合理规划用地出入口，充分考虑消防、交通疏散等功能要求。坚持以人为本、安全、方便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2.3、建筑物的外立面设计及观景平台设计应具有创新性和标志性。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2.4、设计过程中应考虑建筑艺术、技术与经济性，方案应具有可行性。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2.5、项目规划建设，遵循国家现行规范和相关法规，充分利用现有地形，统一进行整体规划，精心设计，按照高起点、高标准进行建设。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2.6、满足建筑朝向、光线、风向、安全防护等使用要求，整合各项目多功能的特点，做到合理分区，方便管理，形成理性的规划结构体系，突出绿化与景观相结合的自然人文环境，创造高适应性的空间场所；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2.7、根据项目的特点，结合项目用房的需求，处理好人流集散与周边道路、动静、建筑的关系，减少相互干扰，努力创造出幽雅舒适的文化氛围和人与自然和谐共处的生态环境；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2.8、设计说明：各专业规划设计说明合理齐全，并根据项目特征编写绿色建筑、装配式建筑、智能化、建筑节能、隔震减震、海绵城市、无障碍设计、消防工程、人防工程等专篇说明。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3、成果及内容要求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3.1、成果深度达到概念方案设计深度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方案深度参考详细规划阶段相关类型规划及研究的深度，包含但不限于建筑单体概念设计、环境空间概念设计、竖向设计等方面的内容。应包括完整、清晰的设计说明与图纸。设计图纸应包括但不限于总平面图、效果图及分析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3.2、成果内容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成果内容包含建筑、景观等规划设计内容。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3.3、指标要求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满足《建筑工程设计文件编制规定》（2016）以及国家和地方相关规范及标准文件。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3.4、时间要求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合同签订后30个日历天完成概念方案设计。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三、成果提交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1、成果提交应包含汇报简本和全本：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简本应尽量简洁、清晰，主要表达设计概念、构思的文字说明，阅读者能够迅速了解方案概念、意图、特色。全本：全本文本页数不限，根据概念规划具体图纸要求自行编排。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2、具体图纸包含：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区位分析图；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项目背景分析；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2.3、设计定位</w:t>
      </w:r>
      <w:r>
        <w:rPr>
          <w:rFonts w:hint="eastAsia" w:ascii="仿宋" w:hAnsi="仿宋" w:eastAsia="仿宋" w:cs="仿宋"/>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景观分析、视线分析、竖向分析等分析图；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2.5、总体平面图、总体竖向图；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2.6、单体平面图、立面图、剖面图；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2.7、结构及材料说明分析图</w:t>
      </w:r>
      <w:r>
        <w:rPr>
          <w:rFonts w:hint="eastAsia" w:ascii="仿宋" w:hAnsi="仿宋" w:eastAsia="仿宋" w:cs="仿宋"/>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2.8、夜间照明设计图</w:t>
      </w:r>
      <w:r>
        <w:rPr>
          <w:rFonts w:hint="eastAsia" w:ascii="仿宋" w:hAnsi="仿宋" w:eastAsia="仿宋" w:cs="仿宋"/>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整体鸟瞰效果图</w:t>
      </w:r>
      <w:r>
        <w:rPr>
          <w:rFonts w:hint="eastAsia" w:ascii="仿宋" w:hAnsi="仿宋" w:eastAsia="仿宋" w:cs="仿宋"/>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2.10、多视角的透视图</w:t>
      </w:r>
      <w:r>
        <w:rPr>
          <w:rFonts w:hint="eastAsia" w:ascii="仿宋" w:hAnsi="仿宋" w:eastAsia="仿宋" w:cs="仿宋"/>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2.11、景观效果图；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2.12、</w:t>
      </w:r>
      <w:r>
        <w:rPr>
          <w:rFonts w:hint="eastAsia" w:ascii="仿宋" w:hAnsi="仿宋" w:eastAsia="仿宋" w:cs="仿宋"/>
          <w:color w:val="auto"/>
          <w:sz w:val="24"/>
          <w:szCs w:val="24"/>
          <w:highlight w:val="none"/>
          <w:lang w:eastAsia="zh-CN"/>
        </w:rPr>
        <w:t>投资</w:t>
      </w:r>
      <w:r>
        <w:rPr>
          <w:rFonts w:hint="eastAsia" w:ascii="仿宋" w:hAnsi="仿宋" w:eastAsia="仿宋" w:cs="仿宋"/>
          <w:color w:val="auto"/>
          <w:sz w:val="24"/>
          <w:szCs w:val="24"/>
          <w:highlight w:val="none"/>
        </w:rPr>
        <w:t>估算；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2.13、</w:t>
      </w:r>
      <w:r>
        <w:rPr>
          <w:rFonts w:hint="eastAsia" w:ascii="仿宋" w:hAnsi="仿宋" w:eastAsia="仿宋" w:cs="仿宋"/>
          <w:color w:val="auto"/>
          <w:sz w:val="24"/>
          <w:szCs w:val="24"/>
          <w:highlight w:val="none"/>
        </w:rPr>
        <w:t>其他附件。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图纸提供</w:t>
      </w:r>
      <w:r>
        <w:rPr>
          <w:rFonts w:hint="eastAsia" w:ascii="仿宋" w:hAnsi="仿宋" w:eastAsia="仿宋" w:cs="仿宋"/>
          <w:color w:val="auto"/>
          <w:sz w:val="24"/>
          <w:szCs w:val="24"/>
          <w:highlight w:val="none"/>
          <w:lang w:eastAsia="zh-CN"/>
        </w:rPr>
        <w:t>电子文档</w:t>
      </w:r>
      <w:r>
        <w:rPr>
          <w:rFonts w:hint="eastAsia" w:ascii="仿宋" w:hAnsi="仿宋" w:eastAsia="仿宋" w:cs="仿宋"/>
          <w:color w:val="auto"/>
          <w:sz w:val="24"/>
          <w:szCs w:val="24"/>
          <w:highlight w:val="none"/>
        </w:rPr>
        <w:t>的要求：设计说明采用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doc文件格式，概念方案设计总平面</w:t>
      </w:r>
      <w:r>
        <w:rPr>
          <w:rFonts w:hint="eastAsia" w:ascii="仿宋" w:hAnsi="仿宋" w:eastAsia="仿宋" w:cs="仿宋"/>
          <w:color w:val="auto"/>
          <w:sz w:val="24"/>
          <w:szCs w:val="24"/>
          <w:highlight w:val="none"/>
          <w:lang w:eastAsia="zh-CN"/>
        </w:rPr>
        <w:t>采用</w:t>
      </w:r>
      <w:r>
        <w:rPr>
          <w:rFonts w:hint="eastAsia" w:ascii="仿宋" w:hAnsi="仿宋" w:eastAsia="仿宋" w:cs="仿宋"/>
          <w:color w:val="auto"/>
          <w:sz w:val="24"/>
          <w:szCs w:val="24"/>
          <w:highlight w:val="none"/>
          <w:lang w:val="en-US" w:eastAsia="zh-CN"/>
        </w:rPr>
        <w:t>.dwg格式</w:t>
      </w:r>
      <w:r>
        <w:rPr>
          <w:rFonts w:hint="eastAsia" w:ascii="仿宋" w:hAnsi="仿宋" w:eastAsia="仿宋" w:cs="仿宋"/>
          <w:color w:val="auto"/>
          <w:sz w:val="24"/>
          <w:szCs w:val="24"/>
          <w:highlight w:val="none"/>
        </w:rPr>
        <w:t>，图片</w:t>
      </w:r>
      <w:r>
        <w:rPr>
          <w:rFonts w:hint="eastAsia" w:ascii="仿宋" w:hAnsi="仿宋" w:eastAsia="仿宋" w:cs="仿宋"/>
          <w:color w:val="auto"/>
          <w:sz w:val="24"/>
          <w:szCs w:val="24"/>
          <w:highlight w:val="none"/>
          <w:lang w:eastAsia="zh-CN"/>
        </w:rPr>
        <w:t>采用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jpg格式，模型资料</w:t>
      </w:r>
      <w:r>
        <w:rPr>
          <w:rFonts w:hint="eastAsia" w:ascii="仿宋" w:hAnsi="仿宋" w:eastAsia="仿宋" w:cs="仿宋"/>
          <w:color w:val="auto"/>
          <w:sz w:val="24"/>
          <w:szCs w:val="24"/>
          <w:highlight w:val="none"/>
          <w:lang w:eastAsia="zh-CN"/>
        </w:rPr>
        <w:t>采用</w:t>
      </w:r>
      <w:r>
        <w:rPr>
          <w:rFonts w:hint="eastAsia" w:ascii="仿宋" w:hAnsi="仿宋" w:eastAsia="仿宋" w:cs="仿宋"/>
          <w:color w:val="auto"/>
          <w:sz w:val="24"/>
          <w:szCs w:val="24"/>
          <w:highlight w:val="none"/>
          <w:lang w:val="en-US" w:eastAsia="zh-CN"/>
        </w:rPr>
        <w:t>.skp</w:t>
      </w:r>
      <w:r>
        <w:rPr>
          <w:rFonts w:hint="eastAsia" w:ascii="仿宋" w:hAnsi="仿宋" w:eastAsia="仿宋" w:cs="仿宋"/>
          <w:color w:val="auto"/>
          <w:sz w:val="24"/>
          <w:szCs w:val="24"/>
          <w:highlight w:val="none"/>
        </w:rPr>
        <w:t>格式，整个汇报文件和技术文件</w:t>
      </w:r>
      <w:r>
        <w:rPr>
          <w:rFonts w:hint="eastAsia" w:ascii="仿宋" w:hAnsi="仿宋" w:eastAsia="仿宋" w:cs="仿宋"/>
          <w:color w:val="auto"/>
          <w:sz w:val="24"/>
          <w:szCs w:val="24"/>
          <w:highlight w:val="none"/>
          <w:lang w:eastAsia="zh-CN"/>
        </w:rPr>
        <w:t>采用</w:t>
      </w:r>
      <w:r>
        <w:rPr>
          <w:rFonts w:hint="eastAsia" w:ascii="仿宋" w:hAnsi="仿宋" w:eastAsia="仿宋" w:cs="仿宋"/>
          <w:color w:val="auto"/>
          <w:sz w:val="24"/>
          <w:szCs w:val="24"/>
          <w:highlight w:val="none"/>
          <w:lang w:val="en-US" w:eastAsia="zh-CN"/>
        </w:rPr>
        <w:t>.pdf</w:t>
      </w:r>
      <w:r>
        <w:rPr>
          <w:rFonts w:hint="eastAsia" w:ascii="仿宋" w:hAnsi="仿宋" w:eastAsia="仿宋" w:cs="仿宋"/>
          <w:color w:val="auto"/>
          <w:sz w:val="24"/>
          <w:szCs w:val="24"/>
          <w:highlight w:val="none"/>
        </w:rPr>
        <w:t>格式</w:t>
      </w:r>
      <w:r>
        <w:rPr>
          <w:rFonts w:hint="eastAsia" w:ascii="仿宋" w:hAnsi="仿宋" w:eastAsia="仿宋" w:cs="仿宋"/>
          <w:color w:val="auto"/>
          <w:sz w:val="24"/>
          <w:szCs w:val="24"/>
          <w:highlight w:val="none"/>
          <w:lang w:eastAsia="zh-CN"/>
        </w:rPr>
        <w:t>，同时提供可编辑的文件。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四</w:t>
      </w:r>
      <w:r>
        <w:rPr>
          <w:rFonts w:hint="eastAsia" w:ascii="仿宋" w:hAnsi="仿宋" w:eastAsia="仿宋" w:cs="仿宋"/>
          <w:b/>
          <w:bCs/>
          <w:color w:val="auto"/>
          <w:sz w:val="24"/>
        </w:rPr>
        <w:t>、商务要求</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1.服务时间：30个日历天完成概念方案设计。</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2.服务地点：</w:t>
      </w:r>
      <w:r>
        <w:rPr>
          <w:rFonts w:hint="eastAsia" w:ascii="仿宋" w:hAnsi="仿宋" w:eastAsia="仿宋" w:cs="仿宋"/>
          <w:color w:val="auto"/>
          <w:sz w:val="24"/>
          <w:lang w:val="en-US" w:eastAsia="zh-CN"/>
        </w:rPr>
        <w:t>采购人指定地点</w:t>
      </w:r>
      <w:r>
        <w:rPr>
          <w:rFonts w:hint="eastAsia" w:ascii="仿宋" w:hAnsi="仿宋" w:eastAsia="仿宋" w:cs="仿宋"/>
          <w:color w:val="auto"/>
          <w:sz w:val="24"/>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3.付款方式：</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（1）本项目合同签订后15日内支付</w:t>
      </w:r>
      <w:r>
        <w:rPr>
          <w:rFonts w:hint="eastAsia" w:ascii="仿宋" w:hAnsi="仿宋" w:eastAsia="仿宋" w:cs="仿宋"/>
          <w:color w:val="auto"/>
          <w:sz w:val="24"/>
          <w:lang w:val="en-US" w:eastAsia="zh-CN"/>
        </w:rPr>
        <w:t>合同价的30</w:t>
      </w:r>
      <w:r>
        <w:rPr>
          <w:rFonts w:hint="eastAsia" w:ascii="仿宋" w:hAnsi="仿宋" w:eastAsia="仿宋" w:cs="仿宋"/>
          <w:color w:val="auto"/>
          <w:sz w:val="24"/>
        </w:rPr>
        <w:t>%</w:t>
      </w:r>
      <w:r>
        <w:rPr>
          <w:rFonts w:hint="eastAsia" w:ascii="仿宋" w:hAnsi="仿宋" w:eastAsia="仿宋" w:cs="仿宋"/>
          <w:color w:val="auto"/>
          <w:sz w:val="24"/>
          <w:lang w:val="en-US" w:eastAsia="zh-CN"/>
        </w:rPr>
        <w:t>作为预付款</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（2）本项目设计成果按照相关会议意见修改完善，提交最终成果并通过</w:t>
      </w:r>
      <w:r>
        <w:rPr>
          <w:rFonts w:hint="eastAsia" w:ascii="仿宋" w:hAnsi="仿宋" w:eastAsia="仿宋" w:cs="仿宋"/>
          <w:color w:val="auto"/>
          <w:sz w:val="24"/>
          <w:lang w:val="en-US" w:eastAsia="zh-CN"/>
        </w:rPr>
        <w:t>采购人</w:t>
      </w:r>
      <w:r>
        <w:rPr>
          <w:rFonts w:hint="eastAsia" w:ascii="仿宋" w:hAnsi="仿宋" w:eastAsia="仿宋" w:cs="仿宋"/>
          <w:color w:val="auto"/>
          <w:sz w:val="24"/>
        </w:rPr>
        <w:t>认可后15工作日内支付</w:t>
      </w:r>
      <w:r>
        <w:rPr>
          <w:rFonts w:hint="eastAsia" w:ascii="仿宋" w:hAnsi="仿宋" w:eastAsia="仿宋" w:cs="仿宋"/>
          <w:color w:val="auto"/>
          <w:sz w:val="24"/>
          <w:lang w:val="en-US" w:eastAsia="zh-CN"/>
        </w:rPr>
        <w:t>至合同价的80</w:t>
      </w:r>
      <w:r>
        <w:rPr>
          <w:rFonts w:hint="eastAsia" w:ascii="仿宋" w:hAnsi="仿宋" w:eastAsia="仿宋" w:cs="仿宋"/>
          <w:color w:val="auto"/>
          <w:sz w:val="24"/>
        </w:rPr>
        <w:t>%</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本项目下一阶段设计完成后（及施工图设计完成后）支付剩余合同款。</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4.验收： </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（1）履约验收主体：</w:t>
      </w:r>
      <w:r>
        <w:rPr>
          <w:rFonts w:hint="eastAsia" w:ascii="仿宋" w:hAnsi="仿宋" w:eastAsia="仿宋" w:cs="仿宋"/>
          <w:color w:val="auto"/>
          <w:sz w:val="24"/>
          <w:lang w:val="en-US" w:eastAsia="zh-CN"/>
        </w:rPr>
        <w:t>采购人自行验收；</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 xml:space="preserve">（2）履约验收时间：供应商提出验收申请之日起15日内组织验收 </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）验收组织方式：自行验收</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 xml:space="preserve">）履约验收程序：一次性验收 </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）技术履约验收内容</w:t>
      </w:r>
      <w:r>
        <w:rPr>
          <w:rFonts w:hint="eastAsia" w:ascii="仿宋" w:hAnsi="仿宋" w:eastAsia="仿宋" w:cs="仿宋"/>
          <w:color w:val="auto"/>
          <w:sz w:val="24"/>
          <w:lang w:eastAsia="zh-CN"/>
        </w:rPr>
        <w:t>：</w:t>
      </w:r>
      <w:r>
        <w:rPr>
          <w:rFonts w:hint="eastAsia" w:ascii="仿宋" w:hAnsi="仿宋" w:eastAsia="仿宋" w:cs="仿宋"/>
          <w:color w:val="auto"/>
          <w:sz w:val="24"/>
        </w:rPr>
        <w:t>按照本项目采购文件中“设计要求”及</w:t>
      </w:r>
      <w:r>
        <w:rPr>
          <w:rFonts w:hint="eastAsia" w:ascii="仿宋" w:hAnsi="仿宋" w:eastAsia="仿宋" w:cs="仿宋"/>
          <w:color w:val="auto"/>
          <w:sz w:val="24"/>
          <w:lang w:val="en-US" w:eastAsia="zh-CN"/>
        </w:rPr>
        <w:t>中标供应商</w:t>
      </w:r>
      <w:r>
        <w:rPr>
          <w:rFonts w:hint="eastAsia" w:ascii="仿宋" w:hAnsi="仿宋" w:eastAsia="仿宋" w:cs="仿宋"/>
          <w:color w:val="auto"/>
          <w:sz w:val="24"/>
        </w:rPr>
        <w:t>响应文件进行验收</w:t>
      </w:r>
      <w:r>
        <w:rPr>
          <w:rFonts w:hint="eastAsia" w:ascii="仿宋" w:hAnsi="仿宋" w:eastAsia="仿宋" w:cs="仿宋"/>
          <w:color w:val="auto"/>
          <w:sz w:val="24"/>
          <w:lang w:eastAsia="zh-CN"/>
        </w:rPr>
        <w:t>；</w:t>
      </w:r>
    </w:p>
    <w:p>
      <w:pPr>
        <w:pageBreakBefore w:val="0"/>
        <w:kinsoku/>
        <w:overflowPunct/>
        <w:bidi w:val="0"/>
        <w:spacing w:line="360" w:lineRule="auto"/>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6</w:t>
      </w:r>
      <w:r>
        <w:rPr>
          <w:rFonts w:hint="eastAsia" w:ascii="仿宋" w:hAnsi="仿宋" w:eastAsia="仿宋" w:cs="仿宋"/>
          <w:color w:val="auto"/>
          <w:sz w:val="24"/>
        </w:rPr>
        <w:t>）商务履约验收内容：按照本项目采购文件中“商务要求”及</w:t>
      </w:r>
      <w:r>
        <w:rPr>
          <w:rFonts w:hint="eastAsia" w:ascii="仿宋" w:hAnsi="仿宋" w:eastAsia="仿宋" w:cs="仿宋"/>
          <w:color w:val="auto"/>
          <w:sz w:val="24"/>
          <w:lang w:val="en-US" w:eastAsia="zh-CN"/>
        </w:rPr>
        <w:t>中标供应商</w:t>
      </w:r>
      <w:r>
        <w:rPr>
          <w:rFonts w:hint="eastAsia" w:ascii="仿宋" w:hAnsi="仿宋" w:eastAsia="仿宋" w:cs="仿宋"/>
          <w:color w:val="auto"/>
          <w:sz w:val="24"/>
        </w:rPr>
        <w:t>响应文件进行验收</w:t>
      </w:r>
      <w:r>
        <w:rPr>
          <w:rFonts w:hint="eastAsia" w:ascii="仿宋" w:hAnsi="仿宋" w:eastAsia="仿宋" w:cs="仿宋"/>
          <w:color w:val="auto"/>
          <w:sz w:val="24"/>
          <w:lang w:eastAsia="zh-CN"/>
        </w:rPr>
        <w:t>。</w:t>
      </w:r>
    </w:p>
    <w:p>
      <w:pPr>
        <w:pStyle w:val="2"/>
        <w:keepNext/>
        <w:keepLines/>
        <w:pageBreakBefore/>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val="0"/>
          <w:color w:val="auto"/>
          <w:sz w:val="24"/>
          <w:highlight w:val="none"/>
        </w:rPr>
      </w:pPr>
      <w:bookmarkStart w:id="80" w:name="_Toc23853"/>
      <w:r>
        <w:rPr>
          <w:rFonts w:hint="eastAsia" w:ascii="仿宋" w:hAnsi="仿宋" w:eastAsia="仿宋" w:cs="仿宋"/>
          <w:color w:val="auto"/>
          <w:sz w:val="32"/>
          <w:szCs w:val="32"/>
          <w:highlight w:val="none"/>
        </w:rPr>
        <w:t>第六章  磋商内容、磋商过程中可实质性变动的内容</w:t>
      </w:r>
      <w:bookmarkEnd w:id="76"/>
      <w:bookmarkEnd w:id="80"/>
    </w:p>
    <w:p>
      <w:pPr>
        <w:spacing w:before="312" w:beforeLines="100" w:after="46" w:afterLines="15" w:line="400" w:lineRule="exact"/>
        <w:outlineLvl w:val="2"/>
        <w:rPr>
          <w:rFonts w:hint="eastAsia" w:ascii="仿宋" w:hAnsi="仿宋" w:eastAsia="仿宋" w:cs="仿宋"/>
          <w:b/>
          <w:bCs/>
          <w:color w:val="auto"/>
          <w:sz w:val="24"/>
          <w:highlight w:val="none"/>
        </w:rPr>
      </w:pPr>
      <w:bookmarkStart w:id="81" w:name="_Toc9453"/>
      <w:r>
        <w:rPr>
          <w:rFonts w:hint="eastAsia" w:ascii="仿宋" w:hAnsi="仿宋" w:eastAsia="仿宋" w:cs="仿宋"/>
          <w:b/>
          <w:bCs/>
          <w:color w:val="auto"/>
          <w:sz w:val="24"/>
          <w:highlight w:val="none"/>
        </w:rPr>
        <w:t>（一）协商内容</w:t>
      </w:r>
      <w:bookmarkEnd w:id="81"/>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 同类项目合同价格。</w:t>
      </w:r>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 相关专利、专有技术等情况说明。</w:t>
      </w:r>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 合同主要条款及价格商定情况。</w:t>
      </w:r>
    </w:p>
    <w:p>
      <w:pPr>
        <w:spacing w:before="46" w:beforeLines="15" w:after="46" w:afterLines="15" w:line="400" w:lineRule="exact"/>
        <w:outlineLvl w:val="1"/>
        <w:rPr>
          <w:rFonts w:hint="eastAsia" w:ascii="仿宋" w:hAnsi="仿宋" w:eastAsia="仿宋" w:cs="仿宋"/>
          <w:b/>
          <w:bCs/>
          <w:color w:val="auto"/>
          <w:sz w:val="24"/>
          <w:highlight w:val="none"/>
        </w:rPr>
      </w:pPr>
      <w:bookmarkStart w:id="82" w:name="_Toc4072"/>
      <w:r>
        <w:rPr>
          <w:rFonts w:hint="eastAsia" w:ascii="仿宋" w:hAnsi="仿宋" w:eastAsia="仿宋" w:cs="仿宋"/>
          <w:b/>
          <w:bCs/>
          <w:color w:val="auto"/>
          <w:sz w:val="24"/>
          <w:highlight w:val="none"/>
        </w:rPr>
        <w:t>（二）协商过程中可能实质性变动的内容</w:t>
      </w:r>
      <w:bookmarkEnd w:id="82"/>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 供应商报价。</w:t>
      </w:r>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 采购项目的技术及商务要求。</w:t>
      </w:r>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 合同草案条款。</w:t>
      </w:r>
    </w:p>
    <w:p>
      <w:pPr>
        <w:tabs>
          <w:tab w:val="left" w:pos="7665"/>
        </w:tabs>
        <w:spacing w:line="400" w:lineRule="exact"/>
        <w:ind w:firstLine="480"/>
        <w:rPr>
          <w:rFonts w:hint="eastAsia" w:ascii="仿宋" w:hAnsi="仿宋" w:eastAsia="仿宋" w:cs="仿宋"/>
          <w:bCs/>
          <w:color w:val="auto"/>
          <w:sz w:val="24"/>
          <w:highlight w:val="none"/>
        </w:rPr>
      </w:pPr>
    </w:p>
    <w:p>
      <w:pPr>
        <w:pStyle w:val="2"/>
        <w:keepNext/>
        <w:keepLines/>
        <w:pageBreakBefore/>
        <w:widowControl w:val="0"/>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cs="仿宋"/>
          <w:color w:val="auto"/>
          <w:sz w:val="32"/>
          <w:szCs w:val="32"/>
          <w:highlight w:val="none"/>
        </w:rPr>
      </w:pPr>
      <w:bookmarkStart w:id="83" w:name="_Toc29426"/>
      <w:bookmarkStart w:id="84" w:name="_Toc28625"/>
      <w:r>
        <w:rPr>
          <w:rFonts w:hint="eastAsia" w:ascii="仿宋" w:hAnsi="仿宋" w:eastAsia="仿宋" w:cs="仿宋"/>
          <w:color w:val="auto"/>
          <w:sz w:val="32"/>
          <w:szCs w:val="32"/>
          <w:highlight w:val="none"/>
        </w:rPr>
        <w:t>第七章  响应文件格式</w:t>
      </w:r>
      <w:bookmarkEnd w:id="83"/>
      <w:bookmarkEnd w:id="84"/>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二、本章所制响应文件格式有关表格中的备注栏，由供应商根据自身响应情况作解释性说明，不作为必填项。</w:t>
      </w:r>
    </w:p>
    <w:p>
      <w:pPr>
        <w:spacing w:line="400" w:lineRule="exact"/>
        <w:ind w:firstLine="480" w:firstLineChars="200"/>
        <w:rPr>
          <w:rFonts w:hint="eastAsia" w:ascii="仿宋" w:hAnsi="仿宋" w:eastAsia="仿宋" w:cs="仿宋"/>
          <w:color w:val="auto"/>
          <w:sz w:val="24"/>
          <w:highlight w:val="none"/>
        </w:rPr>
        <w:sectPr>
          <w:footerReference r:id="rId8" w:type="first"/>
          <w:footerReference r:id="rId7" w:type="default"/>
          <w:pgSz w:w="11850" w:h="16783"/>
          <w:pgMar w:top="1440" w:right="1800" w:bottom="1440" w:left="1800" w:header="851" w:footer="992" w:gutter="0"/>
          <w:cols w:space="720" w:num="1"/>
          <w:titlePg/>
          <w:docGrid w:type="linesAndChars" w:linePitch="312" w:charSpace="0"/>
        </w:sectPr>
      </w:pPr>
      <w:r>
        <w:rPr>
          <w:rFonts w:hint="eastAsia" w:ascii="仿宋" w:hAnsi="仿宋" w:eastAsia="仿宋" w:cs="仿宋"/>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tabs>
          <w:tab w:val="left" w:pos="900"/>
        </w:tabs>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第一部分  “资格性响应文件”格式</w:t>
      </w: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格式1-1</w:t>
      </w: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封面：</w:t>
      </w:r>
    </w:p>
    <w:p>
      <w:pPr>
        <w:spacing w:line="360" w:lineRule="auto"/>
        <w:jc w:val="right"/>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（正本/副本）</w:t>
      </w:r>
    </w:p>
    <w:p>
      <w:pPr>
        <w:spacing w:line="360" w:lineRule="auto"/>
        <w:rPr>
          <w:rFonts w:hint="eastAsia" w:ascii="仿宋" w:hAnsi="仿宋" w:eastAsia="仿宋" w:cs="仿宋"/>
          <w:b/>
          <w:color w:val="auto"/>
          <w:sz w:val="32"/>
          <w:szCs w:val="32"/>
          <w:highlight w:val="none"/>
        </w:rPr>
      </w:pPr>
    </w:p>
    <w:p>
      <w:pPr>
        <w:spacing w:line="360" w:lineRule="auto"/>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u w:val="single"/>
        </w:rPr>
        <w:t xml:space="preserve">                      </w:t>
      </w:r>
      <w:r>
        <w:rPr>
          <w:rFonts w:hint="eastAsia" w:ascii="仿宋" w:hAnsi="仿宋" w:eastAsia="仿宋" w:cs="仿宋"/>
          <w:b/>
          <w:color w:val="auto"/>
          <w:sz w:val="40"/>
          <w:szCs w:val="48"/>
          <w:highlight w:val="none"/>
        </w:rPr>
        <w:t>项目</w:t>
      </w:r>
    </w:p>
    <w:p>
      <w:pPr>
        <w:spacing w:line="360" w:lineRule="auto"/>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52"/>
          <w:szCs w:val="52"/>
          <w:highlight w:val="none"/>
        </w:rPr>
        <w:t>资格性响应文件</w:t>
      </w:r>
    </w:p>
    <w:p>
      <w:pPr>
        <w:spacing w:line="360" w:lineRule="auto"/>
        <w:rPr>
          <w:rFonts w:hint="eastAsia" w:ascii="仿宋" w:hAnsi="仿宋" w:eastAsia="仿宋" w:cs="仿宋"/>
          <w:b/>
          <w:color w:val="auto"/>
          <w:sz w:val="36"/>
          <w:highlight w:val="none"/>
        </w:rPr>
      </w:pPr>
    </w:p>
    <w:p>
      <w:pPr>
        <w:spacing w:line="360" w:lineRule="auto"/>
        <w:rPr>
          <w:rFonts w:hint="eastAsia" w:ascii="仿宋" w:hAnsi="仿宋" w:eastAsia="仿宋" w:cs="仿宋"/>
          <w:b/>
          <w:color w:val="auto"/>
          <w:sz w:val="36"/>
          <w:highlight w:val="none"/>
        </w:rPr>
      </w:pPr>
    </w:p>
    <w:p>
      <w:pPr>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供应商名称：</w:t>
      </w:r>
      <w:r>
        <w:rPr>
          <w:rFonts w:hint="eastAsia" w:ascii="仿宋" w:hAnsi="仿宋" w:eastAsia="仿宋" w:cs="仿宋"/>
          <w:b/>
          <w:color w:val="auto"/>
          <w:sz w:val="32"/>
          <w:highlight w:val="none"/>
          <w:u w:val="single"/>
        </w:rPr>
        <w:t xml:space="preserve">                                 </w:t>
      </w:r>
    </w:p>
    <w:p>
      <w:pPr>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采购项目编号：</w:t>
      </w:r>
      <w:r>
        <w:rPr>
          <w:rFonts w:hint="eastAsia" w:ascii="仿宋" w:hAnsi="仿宋" w:eastAsia="仿宋" w:cs="仿宋"/>
          <w:b/>
          <w:color w:val="auto"/>
          <w:sz w:val="32"/>
          <w:highlight w:val="none"/>
          <w:u w:val="single"/>
        </w:rPr>
        <w:t xml:space="preserve">                               </w:t>
      </w:r>
    </w:p>
    <w:p>
      <w:pPr>
        <w:pStyle w:val="29"/>
        <w:rPr>
          <w:rFonts w:hint="default" w:eastAsia="仿宋"/>
          <w:color w:val="auto"/>
          <w:highlight w:val="none"/>
          <w:u w:val="single"/>
          <w:lang w:val="en-US" w:eastAsia="zh-CN"/>
        </w:rPr>
      </w:pPr>
      <w:r>
        <w:rPr>
          <w:rFonts w:hint="eastAsia" w:ascii="仿宋" w:hAnsi="仿宋" w:eastAsia="仿宋" w:cs="仿宋"/>
          <w:b/>
          <w:color w:val="auto"/>
          <w:sz w:val="32"/>
          <w:highlight w:val="none"/>
          <w:u w:val="none"/>
          <w:lang w:val="en-US" w:eastAsia="zh-CN"/>
        </w:rPr>
        <w:t xml:space="preserve">包号： </w:t>
      </w:r>
      <w:r>
        <w:rPr>
          <w:rFonts w:hint="eastAsia" w:ascii="仿宋" w:hAnsi="仿宋" w:eastAsia="仿宋" w:cs="仿宋"/>
          <w:b/>
          <w:color w:val="auto"/>
          <w:sz w:val="32"/>
          <w:highlight w:val="none"/>
          <w:u w:val="single"/>
          <w:lang w:val="en-US" w:eastAsia="zh-CN"/>
        </w:rPr>
        <w:t xml:space="preserve">                        </w:t>
      </w:r>
    </w:p>
    <w:p>
      <w:pPr>
        <w:spacing w:line="360" w:lineRule="auto"/>
        <w:ind w:firstLine="790" w:firstLineChars="246"/>
        <w:jc w:val="center"/>
        <w:rPr>
          <w:rFonts w:hint="eastAsia" w:ascii="仿宋" w:hAnsi="仿宋" w:eastAsia="仿宋" w:cs="仿宋"/>
          <w:b/>
          <w:color w:val="auto"/>
          <w:sz w:val="32"/>
          <w:highlight w:val="none"/>
        </w:rPr>
      </w:pPr>
    </w:p>
    <w:p>
      <w:pPr>
        <w:spacing w:line="360" w:lineRule="auto"/>
        <w:ind w:firstLine="790" w:firstLineChars="24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响应时间：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月</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日</w:t>
      </w:r>
    </w:p>
    <w:p>
      <w:pPr>
        <w:keepNext/>
        <w:keepLines/>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格式1-2</w:t>
      </w:r>
    </w:p>
    <w:p>
      <w:pPr>
        <w:spacing w:line="360" w:lineRule="auto"/>
        <w:ind w:firstLine="790" w:firstLineChars="246"/>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一、法定代表人授权书</w:t>
      </w:r>
    </w:p>
    <w:p>
      <w:pPr>
        <w:widowControl/>
        <w:spacing w:line="360" w:lineRule="atLeast"/>
        <w:ind w:firstLine="472" w:firstLineChars="196"/>
        <w:jc w:val="left"/>
        <w:outlineLvl w:val="1"/>
        <w:rPr>
          <w:rFonts w:hint="eastAsia" w:ascii="仿宋" w:hAnsi="仿宋" w:eastAsia="仿宋" w:cs="仿宋"/>
          <w:b/>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r>
        <w:rPr>
          <w:rFonts w:hint="eastAsia" w:ascii="仿宋" w:hAnsi="仿宋" w:eastAsia="仿宋" w:cs="仿宋"/>
          <w:color w:val="auto"/>
          <w:sz w:val="24"/>
          <w:highlight w:val="none"/>
          <w:lang w:val="zh-CN"/>
        </w:rPr>
        <w:t>：</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（被授权人姓名、职务）为我方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项目（采购编号：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包号：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）磋商采购活动的合法代表，以我方名义全权处理该项目有关磋商、签订合同以及执行合同等一切事宜。</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法定代表人（委托人）签字或者加盖个人名章：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授权代表（被授权人）签字：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（单位盖章）。</w:t>
      </w:r>
    </w:p>
    <w:p>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b/>
          <w:color w:val="auto"/>
          <w:sz w:val="24"/>
          <w:highlight w:val="none"/>
        </w:rPr>
      </w:pPr>
      <w:bookmarkStart w:id="85" w:name="_Toc217446084"/>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b/>
          <w:color w:val="auto"/>
          <w:sz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b/>
          <w:color w:val="auto"/>
          <w:sz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b/>
          <w:color w:val="auto"/>
          <w:sz w:val="24"/>
          <w:highlight w:val="none"/>
        </w:rPr>
      </w:pPr>
    </w:p>
    <w:p>
      <w:pPr>
        <w:keepNext w:val="0"/>
        <w:keepLines w:val="0"/>
        <w:pageBreakBefore w:val="0"/>
        <w:kinsoku/>
        <w:wordWrap/>
        <w:overflowPunct/>
        <w:topLinePunct w:val="0"/>
        <w:autoSpaceDE/>
        <w:autoSpaceDN/>
        <w:bidi w:val="0"/>
        <w:adjustRightInd/>
        <w:snapToGrid/>
        <w:spacing w:line="400" w:lineRule="exact"/>
        <w:ind w:left="840" w:hanging="840" w:hangingChars="3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1、供应商为法人单位时提供“法定代表人授权书”，供应商为其他组织时提供“单位负责人授权书”。</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2、应附法定代表人身份证明材料复印件和授权代表身份证明材料复印件。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3、身份证明材料包括居民身份证或户口本或军官证或护照等。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4、身份证明材料应同时提供其在有效期的材料，如居民身份证正、反面复印件。</w:t>
      </w:r>
    </w:p>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二、法定代表人身份证明</w:t>
      </w:r>
    </w:p>
    <w:p>
      <w:pPr>
        <w:tabs>
          <w:tab w:val="left" w:pos="6300"/>
        </w:tabs>
        <w:spacing w:line="520" w:lineRule="exact"/>
        <w:ind w:firstLine="573"/>
        <w:rPr>
          <w:rFonts w:hint="eastAsia" w:ascii="仿宋" w:hAnsi="仿宋" w:eastAsia="仿宋" w:cs="仿宋"/>
          <w:color w:val="auto"/>
          <w:sz w:val="24"/>
          <w:highlight w:val="none"/>
          <w:lang w:val="zh-CN"/>
        </w:rPr>
      </w:pP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r>
        <w:rPr>
          <w:rFonts w:hint="eastAsia" w:ascii="仿宋" w:hAnsi="仿宋" w:eastAsia="仿宋" w:cs="仿宋"/>
          <w:color w:val="auto"/>
          <w:sz w:val="24"/>
          <w:highlight w:val="none"/>
          <w:lang w:val="zh-CN"/>
        </w:rPr>
        <w:t>：</w:t>
      </w: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u w:val="single"/>
          <w:lang w:val="zh-CN"/>
        </w:rPr>
        <w:t xml:space="preserve">   （法定代表人姓名）         </w:t>
      </w:r>
      <w:r>
        <w:rPr>
          <w:rFonts w:hint="eastAsia" w:ascii="仿宋" w:hAnsi="仿宋" w:eastAsia="仿宋" w:cs="仿宋"/>
          <w:color w:val="auto"/>
          <w:sz w:val="24"/>
          <w:highlight w:val="none"/>
          <w:lang w:val="zh-CN"/>
        </w:rPr>
        <w:t>在</w:t>
      </w:r>
      <w:r>
        <w:rPr>
          <w:rFonts w:hint="eastAsia" w:ascii="仿宋" w:hAnsi="仿宋" w:eastAsia="仿宋" w:cs="仿宋"/>
          <w:color w:val="auto"/>
          <w:sz w:val="24"/>
          <w:highlight w:val="none"/>
          <w:u w:val="single"/>
          <w:lang w:val="zh-CN"/>
        </w:rPr>
        <w:t xml:space="preserve">          （供应商名称）  </w:t>
      </w:r>
      <w:r>
        <w:rPr>
          <w:rFonts w:hint="eastAsia" w:ascii="仿宋" w:hAnsi="仿宋" w:eastAsia="仿宋" w:cs="仿宋"/>
          <w:color w:val="auto"/>
          <w:sz w:val="24"/>
          <w:highlight w:val="none"/>
          <w:lang w:val="zh-CN"/>
        </w:rPr>
        <w:t>处任</w:t>
      </w:r>
      <w:r>
        <w:rPr>
          <w:rFonts w:hint="eastAsia" w:ascii="仿宋" w:hAnsi="仿宋" w:eastAsia="仿宋" w:cs="仿宋"/>
          <w:color w:val="auto"/>
          <w:sz w:val="24"/>
          <w:highlight w:val="none"/>
          <w:u w:val="single"/>
          <w:lang w:val="zh-CN"/>
        </w:rPr>
        <w:t xml:space="preserve">         （职务名称）        </w:t>
      </w:r>
      <w:r>
        <w:rPr>
          <w:rFonts w:hint="eastAsia" w:ascii="仿宋" w:hAnsi="仿宋" w:eastAsia="仿宋" w:cs="仿宋"/>
          <w:color w:val="auto"/>
          <w:sz w:val="24"/>
          <w:highlight w:val="none"/>
          <w:lang w:val="zh-CN"/>
        </w:rPr>
        <w:t>职务，是</w:t>
      </w:r>
      <w:r>
        <w:rPr>
          <w:rFonts w:hint="eastAsia" w:ascii="仿宋" w:hAnsi="仿宋" w:eastAsia="仿宋" w:cs="仿宋"/>
          <w:color w:val="auto"/>
          <w:sz w:val="24"/>
          <w:highlight w:val="none"/>
          <w:u w:val="single"/>
          <w:lang w:val="zh-CN"/>
        </w:rPr>
        <w:t xml:space="preserve">      （供应商名称）    </w:t>
      </w:r>
      <w:r>
        <w:rPr>
          <w:rFonts w:hint="eastAsia" w:ascii="仿宋" w:hAnsi="仿宋" w:eastAsia="仿宋" w:cs="仿宋"/>
          <w:color w:val="auto"/>
          <w:sz w:val="24"/>
          <w:highlight w:val="none"/>
          <w:lang w:val="zh-CN"/>
        </w:rPr>
        <w:t>的法定代表人。</w:t>
      </w: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法定代表人联系方式：</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w:t>
      </w: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color w:val="auto"/>
          <w:sz w:val="24"/>
          <w:highlight w:val="none"/>
          <w:lang w:val="zh-CN"/>
        </w:rPr>
      </w:pPr>
    </w:p>
    <w:p>
      <w:pPr>
        <w:keepNext w:val="0"/>
        <w:keepLines w:val="0"/>
        <w:pageBreakBefore w:val="0"/>
        <w:widowControl w:val="0"/>
        <w:tabs>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特此证明。</w:t>
      </w:r>
    </w:p>
    <w:p>
      <w:pPr>
        <w:keepNext w:val="0"/>
        <w:keepLines w:val="0"/>
        <w:pageBreakBefore w:val="0"/>
        <w:widowControl w:val="0"/>
        <w:tabs>
          <w:tab w:val="left" w:pos="6300"/>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zh-CN"/>
        </w:rPr>
      </w:pPr>
    </w:p>
    <w:p>
      <w:pPr>
        <w:keepNext w:val="0"/>
        <w:keepLines w:val="0"/>
        <w:pageBreakBefore w:val="0"/>
        <w:widowControl w:val="0"/>
        <w:tabs>
          <w:tab w:val="left" w:pos="6300"/>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日  期:</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zh-CN"/>
        </w:rPr>
        <w:t>说明：上述证明文件在投标文件中附有法定代表人身份证复印件（身份证两面均应复印）时才能生效,不允许粘贴。</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2900045</wp:posOffset>
                </wp:positionH>
                <wp:positionV relativeFrom="paragraph">
                  <wp:posOffset>628015</wp:posOffset>
                </wp:positionV>
                <wp:extent cx="2405380" cy="1461770"/>
                <wp:effectExtent l="4445" t="4445" r="9525" b="19685"/>
                <wp:wrapSquare wrapText="bothSides"/>
                <wp:docPr id="1" name="文本框 11"/>
                <wp:cNvGraphicFramePr/>
                <a:graphic xmlns:a="http://schemas.openxmlformats.org/drawingml/2006/main">
                  <a:graphicData uri="http://schemas.microsoft.com/office/word/2010/wordprocessingShape">
                    <wps:wsp>
                      <wps:cNvSpPr txBox="1"/>
                      <wps:spPr>
                        <a:xfrm>
                          <a:off x="0" y="0"/>
                          <a:ext cx="2405380" cy="146177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ascii="宋体" w:hAnsi="宋体"/>
                                <w:b/>
                                <w:sz w:val="24"/>
                                <w:lang w:val="zh-CN"/>
                              </w:rPr>
                            </w:pPr>
                          </w:p>
                          <w:p>
                            <w:pPr>
                              <w:rPr>
                                <w:rFonts w:ascii="宋体" w:hAnsi="宋体"/>
                                <w:b/>
                                <w:sz w:val="24"/>
                                <w:lang w:val="zh-CN"/>
                              </w:rPr>
                            </w:pPr>
                          </w:p>
                          <w:p>
                            <w:pPr>
                              <w:jc w:val="center"/>
                            </w:pPr>
                            <w:r>
                              <w:rPr>
                                <w:rFonts w:hint="eastAsia" w:ascii="仿宋" w:hAnsi="仿宋" w:eastAsia="仿宋" w:cs="仿宋"/>
                                <w:b/>
                                <w:sz w:val="24"/>
                                <w:lang w:val="zh-CN"/>
                              </w:rPr>
                              <w:t>身份证复印件背面</w:t>
                            </w:r>
                          </w:p>
                        </w:txbxContent>
                      </wps:txbx>
                      <wps:bodyPr upright="1"/>
                    </wps:wsp>
                  </a:graphicData>
                </a:graphic>
              </wp:anchor>
            </w:drawing>
          </mc:Choice>
          <mc:Fallback>
            <w:pict>
              <v:shape id="文本框 11" o:spid="_x0000_s1026" o:spt="202" type="#_x0000_t202" style="position:absolute;left:0pt;margin-left:228.35pt;margin-top:49.45pt;height:115.1pt;width:189.4pt;mso-wrap-distance-bottom:0pt;mso-wrap-distance-left:9pt;mso-wrap-distance-right:9pt;mso-wrap-distance-top:0pt;z-index:251662336;mso-width-relative:page;mso-height-relative:page;" fillcolor="#FFFFFF" filled="t" stroked="t" coordsize="21600,21600" o:gfxdata="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hTgL2QAAAAoBAAAPAAAAAAAAAAEA&#10;IAAAACIAAABkcnMvZG93bnJldi54bWxQSwECFAAUAAAACACHTuJAAItasg4CAAA3BAAADgAAAAAA&#10;AAABACAAAAAoAQAAZHJzL2Uyb0RvYy54bWxQSwUGAAAAAAYABgBZAQAAqAUAAAAA&#10;">
                <v:fill on="t" focussize="0,0"/>
                <v:stroke color="#000000" joinstyle="miter" dashstyle="dash"/>
                <v:imagedata o:title=""/>
                <o:lock v:ext="edit" aspectratio="f"/>
                <v:textbox>
                  <w:txbxContent>
                    <w:p>
                      <w:pPr>
                        <w:rPr>
                          <w:rFonts w:ascii="宋体" w:hAnsi="宋体"/>
                          <w:b/>
                          <w:sz w:val="24"/>
                          <w:lang w:val="zh-CN"/>
                        </w:rPr>
                      </w:pPr>
                    </w:p>
                    <w:p>
                      <w:pPr>
                        <w:rPr>
                          <w:rFonts w:ascii="宋体" w:hAnsi="宋体"/>
                          <w:b/>
                          <w:sz w:val="24"/>
                          <w:lang w:val="zh-CN"/>
                        </w:rPr>
                      </w:pPr>
                    </w:p>
                    <w:p>
                      <w:pPr>
                        <w:jc w:val="center"/>
                      </w:pPr>
                      <w:r>
                        <w:rPr>
                          <w:rFonts w:hint="eastAsia" w:ascii="仿宋" w:hAnsi="仿宋" w:eastAsia="仿宋" w:cs="仿宋"/>
                          <w:b/>
                          <w:sz w:val="24"/>
                          <w:lang w:val="zh-CN"/>
                        </w:rPr>
                        <w:t>身份证复印件背面</w:t>
                      </w:r>
                    </w:p>
                  </w:txbxContent>
                </v:textbox>
                <w10:wrap type="square"/>
              </v:shape>
            </w:pict>
          </mc:Fallback>
        </mc:AlternateContent>
      </w:r>
      <w:r>
        <w:rPr>
          <w:rFonts w:hint="eastAsia" w:ascii="仿宋" w:hAnsi="仿宋" w:eastAsia="仿宋" w:cs="仿宋"/>
          <w:b/>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344170</wp:posOffset>
                </wp:positionH>
                <wp:positionV relativeFrom="paragraph">
                  <wp:posOffset>628015</wp:posOffset>
                </wp:positionV>
                <wp:extent cx="2405380" cy="1461770"/>
                <wp:effectExtent l="4445" t="4445" r="9525" b="19685"/>
                <wp:wrapSquare wrapText="bothSides"/>
                <wp:docPr id="2" name="文本框 12"/>
                <wp:cNvGraphicFramePr/>
                <a:graphic xmlns:a="http://schemas.openxmlformats.org/drawingml/2006/main">
                  <a:graphicData uri="http://schemas.microsoft.com/office/word/2010/wordprocessingShape">
                    <wps:wsp>
                      <wps:cNvSpPr txBox="1"/>
                      <wps:spPr>
                        <a:xfrm>
                          <a:off x="0" y="0"/>
                          <a:ext cx="2405380" cy="146177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ascii="宋体" w:hAnsi="宋体"/>
                                <w:b/>
                                <w:sz w:val="24"/>
                                <w:lang w:val="zh-CN"/>
                              </w:rPr>
                            </w:pPr>
                          </w:p>
                          <w:p>
                            <w:pPr>
                              <w:rPr>
                                <w:rFonts w:hint="eastAsia" w:ascii="仿宋" w:hAnsi="仿宋" w:eastAsia="仿宋" w:cs="仿宋"/>
                                <w:b/>
                                <w:sz w:val="24"/>
                                <w:lang w:val="zh-CN"/>
                              </w:rPr>
                            </w:pPr>
                          </w:p>
                          <w:p>
                            <w:pPr>
                              <w:jc w:val="center"/>
                            </w:pPr>
                            <w:r>
                              <w:rPr>
                                <w:rFonts w:hint="eastAsia" w:ascii="仿宋" w:hAnsi="仿宋" w:eastAsia="仿宋" w:cs="仿宋"/>
                                <w:b/>
                                <w:sz w:val="24"/>
                                <w:lang w:val="zh-CN"/>
                              </w:rPr>
                              <w:t>身份证复印件正面</w:t>
                            </w:r>
                          </w:p>
                        </w:txbxContent>
                      </wps:txbx>
                      <wps:bodyPr upright="1"/>
                    </wps:wsp>
                  </a:graphicData>
                </a:graphic>
              </wp:anchor>
            </w:drawing>
          </mc:Choice>
          <mc:Fallback>
            <w:pict>
              <v:shape id="文本框 12" o:spid="_x0000_s1026" o:spt="202" type="#_x0000_t202" style="position:absolute;left:0pt;margin-left:27.1pt;margin-top:49.45pt;height:115.1pt;width:189.4pt;mso-wrap-distance-bottom:0pt;mso-wrap-distance-left:9pt;mso-wrap-distance-right:9pt;mso-wrap-distance-top:0pt;z-index:251663360;mso-width-relative:page;mso-height-relative:page;" fillcolor="#FFFFFF" filled="t" stroked="t" coordsize="21600,21600" o:gfxdata="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jIrd9gAAAAJAQAADwAAAAAAAAAB&#10;ACAAAAAiAAAAZHJzL2Rvd25yZXYueG1sUEsBAhQAFAAAAAgAh07iQFyRnNsQAgAANwQAAA4AAAAA&#10;AAAAAQAgAAAAJwEAAGRycy9lMm9Eb2MueG1sUEsFBgAAAAAGAAYAWQEAAKkFAAAAAA==&#10;">
                <v:fill on="t" focussize="0,0"/>
                <v:stroke color="#000000" joinstyle="miter" dashstyle="dash"/>
                <v:imagedata o:title=""/>
                <o:lock v:ext="edit" aspectratio="f"/>
                <v:textbox>
                  <w:txbxContent>
                    <w:p>
                      <w:pPr>
                        <w:rPr>
                          <w:rFonts w:ascii="宋体" w:hAnsi="宋体"/>
                          <w:b/>
                          <w:sz w:val="24"/>
                          <w:lang w:val="zh-CN"/>
                        </w:rPr>
                      </w:pPr>
                    </w:p>
                    <w:p>
                      <w:pPr>
                        <w:rPr>
                          <w:rFonts w:hint="eastAsia" w:ascii="仿宋" w:hAnsi="仿宋" w:eastAsia="仿宋" w:cs="仿宋"/>
                          <w:b/>
                          <w:sz w:val="24"/>
                          <w:lang w:val="zh-CN"/>
                        </w:rPr>
                      </w:pPr>
                    </w:p>
                    <w:p>
                      <w:pPr>
                        <w:jc w:val="center"/>
                      </w:pPr>
                      <w:r>
                        <w:rPr>
                          <w:rFonts w:hint="eastAsia" w:ascii="仿宋" w:hAnsi="仿宋" w:eastAsia="仿宋" w:cs="仿宋"/>
                          <w:b/>
                          <w:sz w:val="24"/>
                          <w:lang w:val="zh-CN"/>
                        </w:rPr>
                        <w:t>身份证复印件正面</w:t>
                      </w:r>
                    </w:p>
                  </w:txbxContent>
                </v:textbox>
                <w10:wrap type="square"/>
              </v:shape>
            </w:pict>
          </mc:Fallback>
        </mc:AlternateConten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400" w:lineRule="exact"/>
        <w:ind w:firstLine="573"/>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法定代表人身份证样式(仅供参考)：</w:t>
      </w:r>
    </w:p>
    <w:p>
      <w:pPr>
        <w:tabs>
          <w:tab w:val="left" w:pos="720"/>
          <w:tab w:val="left" w:pos="6300"/>
        </w:tabs>
        <w:ind w:firstLine="573"/>
        <w:rPr>
          <w:rFonts w:hint="eastAsia" w:ascii="仿宋" w:hAnsi="仿宋" w:eastAsia="仿宋" w:cs="仿宋"/>
          <w:b/>
          <w:color w:val="auto"/>
          <w:sz w:val="24"/>
          <w:highlight w:val="none"/>
          <w:lang w:val="zh-CN"/>
        </w:rPr>
      </w:pPr>
    </w:p>
    <w:p>
      <w:pPr>
        <w:tabs>
          <w:tab w:val="left" w:pos="720"/>
          <w:tab w:val="left" w:pos="6300"/>
        </w:tabs>
        <w:spacing w:line="360" w:lineRule="auto"/>
        <w:ind w:firstLine="573"/>
        <w:rPr>
          <w:rFonts w:hint="eastAsia" w:ascii="仿宋" w:hAnsi="仿宋" w:eastAsia="仿宋" w:cs="仿宋"/>
          <w:b/>
          <w:color w:val="auto"/>
          <w:sz w:val="24"/>
          <w:highlight w:val="none"/>
          <w:lang w:val="zh-CN"/>
        </w:rPr>
      </w:pPr>
    </w:p>
    <w:p>
      <w:pPr>
        <w:tabs>
          <w:tab w:val="left" w:pos="720"/>
          <w:tab w:val="left" w:pos="6300"/>
        </w:tabs>
        <w:spacing w:line="360" w:lineRule="auto"/>
        <w:ind w:firstLine="573"/>
        <w:rPr>
          <w:rFonts w:hint="eastAsia" w:ascii="仿宋" w:hAnsi="仿宋" w:eastAsia="仿宋" w:cs="仿宋"/>
          <w:b/>
          <w:color w:val="auto"/>
          <w:sz w:val="24"/>
          <w:highlight w:val="none"/>
          <w:lang w:val="zh-CN"/>
        </w:rPr>
      </w:pPr>
    </w:p>
    <w:p>
      <w:pPr>
        <w:tabs>
          <w:tab w:val="left" w:pos="720"/>
          <w:tab w:val="left" w:pos="6300"/>
        </w:tabs>
        <w:spacing w:line="360" w:lineRule="auto"/>
        <w:ind w:firstLine="573"/>
        <w:rPr>
          <w:rFonts w:hint="eastAsia" w:ascii="仿宋" w:hAnsi="仿宋" w:eastAsia="仿宋" w:cs="仿宋"/>
          <w:b/>
          <w:color w:val="auto"/>
          <w:sz w:val="24"/>
          <w:highlight w:val="none"/>
          <w:lang w:val="zh-CN"/>
        </w:rPr>
      </w:pPr>
    </w:p>
    <w:bookmarkEnd w:id="85"/>
    <w:p>
      <w:pPr>
        <w:spacing w:line="360" w:lineRule="auto"/>
        <w:ind w:firstLine="790" w:firstLineChars="246"/>
        <w:jc w:val="center"/>
        <w:rPr>
          <w:rFonts w:hint="eastAsia" w:ascii="仿宋" w:hAnsi="仿宋" w:eastAsia="仿宋" w:cs="仿宋"/>
          <w:b/>
          <w:color w:val="auto"/>
          <w:sz w:val="32"/>
          <w:highlight w:val="none"/>
        </w:rPr>
      </w:pP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格式1-3</w:t>
      </w:r>
    </w:p>
    <w:p>
      <w:pPr>
        <w:widowControl/>
        <w:spacing w:line="360" w:lineRule="atLeast"/>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三、承诺函</w:t>
      </w:r>
    </w:p>
    <w:p>
      <w:pPr>
        <w:widowControl/>
        <w:spacing w:line="360" w:lineRule="atLeast"/>
        <w:jc w:val="center"/>
        <w:outlineLvl w:val="1"/>
        <w:rPr>
          <w:rFonts w:hint="eastAsia" w:ascii="仿宋" w:hAnsi="仿宋" w:eastAsia="仿宋" w:cs="仿宋"/>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我公司作为本次采购项目的供应商，根据</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文件要求，现郑重承诺如下：</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、完全接受和满足本项目</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文件中规定的实质性要求，如对</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文件有异议，已经在递交响应文件截止时间届满前依法进行维权救济，不存在对</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文件有异议的同时又参加</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以求侥幸成交或者为实现其他非法目的的行为。</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、响应文件中提供的任何资料和技术、服务、商务等响应承诺情况都是真实的、有效的、合法的。</w:t>
      </w:r>
    </w:p>
    <w:p>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本公司对上述承诺的内容事项真实性负责。如经查实上述承诺的内容事项存在虚假，我公司愿意接受以提供虚假材料谋取成交的法律责任。</w:t>
      </w:r>
    </w:p>
    <w:p>
      <w:pPr>
        <w:pStyle w:val="31"/>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highlight w:val="none"/>
        </w:rPr>
      </w:pPr>
    </w:p>
    <w:p>
      <w:pPr>
        <w:pStyle w:val="31"/>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法定代表人签字或者加盖个人私章：</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格式1-4</w:t>
      </w:r>
    </w:p>
    <w:p>
      <w:pPr>
        <w:spacing w:line="360" w:lineRule="auto"/>
        <w:ind w:firstLine="790" w:firstLineChars="246"/>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四、供应商和磋商其他资格、资质性及其他类似效力要求的相关证明材料</w:t>
      </w:r>
    </w:p>
    <w:p>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注：投标人应按招标文件第三章、第四章相关要求提供佐证材料，有格式要求的从其要求，无格式要求的格式自拟。</w:t>
      </w:r>
    </w:p>
    <w:p>
      <w:pPr>
        <w:pStyle w:val="8"/>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、具有独立承担民事责任的能力</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我方为独立法人机构/其他组织，具有具有独立承担民事责任的能力。</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附件（供应商根据自身情况选择以下附件并提供）：</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1.供应商为企业的，提供企业营业执照副本、税务登记证副本、组织机构代码证副本复印件或统一社会信用代码的营业执照副本复印件加盖单位公章。</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2.供应商为事业单位、提供事业单位法人证书复印件加盖单位公章。</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3.供应商为其他组织的，提供相应证书或证明资料复印件加盖单位公章。</w:t>
      </w:r>
    </w:p>
    <w:p>
      <w:pPr>
        <w:pStyle w:val="8"/>
        <w:rPr>
          <w:rFonts w:hint="eastAsia" w:ascii="仿宋" w:hAnsi="仿宋" w:eastAsia="仿宋" w:cs="仿宋"/>
          <w:color w:val="auto"/>
          <w:highlight w:val="none"/>
        </w:rPr>
      </w:pPr>
    </w:p>
    <w:p>
      <w:pPr>
        <w:pStyle w:val="8"/>
        <w:keepNext/>
        <w:keepLines/>
        <w:pageBreakBefore/>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、具备良好商业信誉的证明材料</w:t>
      </w:r>
    </w:p>
    <w:p>
      <w:pPr>
        <w:pStyle w:val="8"/>
        <w:rPr>
          <w:rFonts w:hint="eastAsia"/>
          <w:color w:val="auto"/>
          <w:highlight w:val="none"/>
        </w:rPr>
      </w:pPr>
    </w:p>
    <w:p>
      <w:pPr>
        <w:pStyle w:val="8"/>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pStyle w:val="8"/>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我单位在此郑重承诺：</w:t>
      </w:r>
    </w:p>
    <w:p>
      <w:pPr>
        <w:pStyle w:val="8"/>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我单位参加本次采购活动，我单位郑重承诺具有履行本次采购活动所必须的良好的商业信誉。</w:t>
      </w:r>
    </w:p>
    <w:p>
      <w:pPr>
        <w:pStyle w:val="8"/>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我单位对承诺的真实性有效性负法律责任。</w:t>
      </w:r>
    </w:p>
    <w:p>
      <w:pPr>
        <w:pStyle w:val="8"/>
        <w:ind w:firstLine="420" w:firstLineChars="200"/>
        <w:rPr>
          <w:rFonts w:hint="eastAsia" w:ascii="仿宋" w:hAnsi="仿宋" w:eastAsia="仿宋" w:cs="仿宋"/>
          <w:color w:val="auto"/>
          <w:highlight w:val="none"/>
        </w:rPr>
      </w:pPr>
    </w:p>
    <w:p>
      <w:pPr>
        <w:pStyle w:val="8"/>
        <w:rPr>
          <w:rFonts w:hint="eastAsia" w:ascii="仿宋" w:hAnsi="仿宋" w:eastAsia="仿宋" w:cs="仿宋"/>
          <w:color w:val="auto"/>
          <w:highlight w:val="none"/>
        </w:rPr>
      </w:pPr>
    </w:p>
    <w:p>
      <w:pPr>
        <w:pStyle w:val="8"/>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供应商全称（加盖单位公章）：</w:t>
      </w:r>
      <w:r>
        <w:rPr>
          <w:rFonts w:hint="eastAsia" w:ascii="仿宋" w:hAnsi="仿宋" w:eastAsia="仿宋" w:cs="仿宋"/>
          <w:color w:val="auto"/>
          <w:sz w:val="24"/>
          <w:highlight w:val="none"/>
          <w:u w:val="single"/>
        </w:rPr>
        <w:t xml:space="preserve">          </w:t>
      </w:r>
    </w:p>
    <w:p>
      <w:pPr>
        <w:pStyle w:val="8"/>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法定代表人或授权代表（签字）：</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8"/>
        <w:keepNext/>
        <w:keepLines/>
        <w:pageBreakBefore/>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、具备健全的财务会计制度的证明材料</w:t>
      </w:r>
    </w:p>
    <w:p>
      <w:pPr>
        <w:pStyle w:val="8"/>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我单位在此郑重承诺：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我单位参加本次采购活动，我单位郑重承诺具有履行本次采购活动所必须的健全的财务会计制度。</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我单位对承诺的真实性有效性负法律责任。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供应商全称（加盖单位公章）：</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法定代表人或授权代表（签字）：</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8"/>
        <w:keepNext w:val="0"/>
        <w:keepLines w:val="0"/>
        <w:pageBreakBefore w:val="0"/>
        <w:widowControl w:val="0"/>
        <w:kinsoku/>
        <w:wordWrap/>
        <w:overflowPunct/>
        <w:topLinePunct w:val="0"/>
        <w:autoSpaceDE/>
        <w:autoSpaceDN/>
        <w:bidi w:val="0"/>
        <w:adjustRightInd/>
        <w:snapToGrid/>
        <w:spacing w:before="1249" w:beforeLines="400"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注：①提供</w:t>
      </w:r>
      <w:r>
        <w:rPr>
          <w:rFonts w:hint="eastAsia" w:ascii="仿宋" w:hAnsi="仿宋" w:eastAsia="仿宋" w:cs="仿宋"/>
          <w:color w:val="auto"/>
          <w:sz w:val="24"/>
          <w:highlight w:val="none"/>
          <w:lang w:val="en-US" w:eastAsia="zh-CN"/>
        </w:rPr>
        <w:t>2022</w:t>
      </w:r>
      <w:r>
        <w:rPr>
          <w:rFonts w:hint="eastAsia" w:ascii="仿宋" w:hAnsi="仿宋" w:eastAsia="仿宋" w:cs="仿宋"/>
          <w:color w:val="auto"/>
          <w:sz w:val="24"/>
          <w:highlight w:val="none"/>
        </w:rPr>
        <w:t>年或20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度的财务报告复印件（包含审计报告和审计报告中所涉及的财务报表和报表附注），②也可提供截至投标文件递交截止日一年内银行出具的资信证明（复印件），③供应商注册时间截至投标文件递交截止日不足一年的，也可提供在工商备案的公司章程（复印件），④也可提供承诺函；</w:t>
      </w:r>
    </w:p>
    <w:p>
      <w:pPr>
        <w:pStyle w:val="8"/>
        <w:keepNext/>
        <w:keepLines/>
        <w:pageBreakBefore/>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、具有履行合同所必</w:t>
      </w:r>
      <w:r>
        <w:rPr>
          <w:rFonts w:hint="eastAsia" w:ascii="仿宋" w:hAnsi="仿宋" w:eastAsia="仿宋" w:cs="仿宋"/>
          <w:b/>
          <w:bCs/>
          <w:color w:val="auto"/>
          <w:sz w:val="32"/>
          <w:szCs w:val="32"/>
          <w:highlight w:val="none"/>
          <w:lang w:val="en-US" w:eastAsia="zh-CN"/>
        </w:rPr>
        <w:t>需</w:t>
      </w:r>
      <w:r>
        <w:rPr>
          <w:rFonts w:hint="eastAsia" w:ascii="仿宋" w:hAnsi="仿宋" w:eastAsia="仿宋" w:cs="仿宋"/>
          <w:b/>
          <w:bCs/>
          <w:color w:val="auto"/>
          <w:sz w:val="32"/>
          <w:szCs w:val="32"/>
          <w:highlight w:val="none"/>
        </w:rPr>
        <w:t>的设备和专业技术能力</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我单位在此郑重承诺：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我单位参加本次采购活动，已全面了解本</w:t>
      </w:r>
      <w:r>
        <w:rPr>
          <w:rFonts w:hint="eastAsia" w:ascii="仿宋" w:hAnsi="仿宋" w:eastAsia="仿宋" w:cs="仿宋"/>
          <w:color w:val="auto"/>
          <w:sz w:val="24"/>
          <w:highlight w:val="none"/>
          <w:lang w:eastAsia="zh-CN"/>
        </w:rPr>
        <w:t>次</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eastAsia="zh-CN"/>
        </w:rPr>
        <w:t>工程项目的</w:t>
      </w:r>
      <w:r>
        <w:rPr>
          <w:rFonts w:hint="eastAsia" w:ascii="仿宋" w:hAnsi="仿宋" w:eastAsia="仿宋" w:cs="仿宋"/>
          <w:color w:val="auto"/>
          <w:sz w:val="24"/>
          <w:highlight w:val="none"/>
        </w:rPr>
        <w:t>工作</w:t>
      </w:r>
      <w:r>
        <w:rPr>
          <w:rFonts w:hint="eastAsia" w:ascii="仿宋" w:hAnsi="仿宋" w:eastAsia="仿宋" w:cs="仿宋"/>
          <w:color w:val="auto"/>
          <w:sz w:val="24"/>
          <w:highlight w:val="none"/>
          <w:lang w:eastAsia="zh-CN"/>
        </w:rPr>
        <w:t>内容</w:t>
      </w:r>
      <w:r>
        <w:rPr>
          <w:rFonts w:hint="eastAsia" w:ascii="仿宋" w:hAnsi="仿宋" w:eastAsia="仿宋" w:cs="仿宋"/>
          <w:color w:val="auto"/>
          <w:sz w:val="24"/>
          <w:highlight w:val="none"/>
        </w:rPr>
        <w:t>。我单位郑重承诺具有履行本次采购活动所有合同所必</w:t>
      </w:r>
      <w:r>
        <w:rPr>
          <w:rFonts w:hint="eastAsia" w:ascii="仿宋" w:hAnsi="仿宋" w:eastAsia="仿宋" w:cs="仿宋"/>
          <w:color w:val="auto"/>
          <w:sz w:val="24"/>
          <w:highlight w:val="none"/>
          <w:lang w:val="en-US" w:eastAsia="zh-CN"/>
        </w:rPr>
        <w:t>需</w:t>
      </w:r>
      <w:r>
        <w:rPr>
          <w:rFonts w:hint="eastAsia" w:ascii="仿宋" w:hAnsi="仿宋" w:eastAsia="仿宋" w:cs="仿宋"/>
          <w:color w:val="auto"/>
          <w:sz w:val="24"/>
          <w:highlight w:val="none"/>
        </w:rPr>
        <w:t>的设备和专业技术能力。</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我单位对承诺的真实性有效性负法律责任。</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供应商全称（加盖单位公章）：</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法定代表人或授权代表（签字）：</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8"/>
        <w:keepNext/>
        <w:keepLines/>
        <w:pageBreakBefore/>
        <w:widowControl w:val="0"/>
        <w:kinsoku/>
        <w:wordWrap/>
        <w:overflowPunct/>
        <w:topLinePunct w:val="0"/>
        <w:autoSpaceDE/>
        <w:autoSpaceDN/>
        <w:bidi w:val="0"/>
        <w:adjustRightInd/>
        <w:snapToGrid/>
        <w:jc w:val="center"/>
        <w:textAlignment w:val="auto"/>
        <w:rPr>
          <w:rFonts w:hint="eastAsia" w:ascii="仿宋" w:hAnsi="仿宋" w:eastAsia="仿宋" w:cs="仿宋"/>
          <w:color w:val="auto"/>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具</w:t>
      </w:r>
      <w:r>
        <w:rPr>
          <w:rFonts w:hint="eastAsia" w:ascii="仿宋" w:hAnsi="仿宋" w:eastAsia="仿宋" w:cs="仿宋"/>
          <w:b/>
          <w:bCs/>
          <w:color w:val="auto"/>
          <w:sz w:val="32"/>
          <w:szCs w:val="32"/>
          <w:highlight w:val="none"/>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我单位在此郑重承诺：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我单位参加本次采购活动，我单位郑重承诺具有履行本次采购活动所必须的依法缴纳税收和社会保障资金的良好记录。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我单位对承诺的真实性有效性负法律责任。</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供应商全称（加盖单位公章）：</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法定代表人或授权代表（签字）：</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8"/>
        <w:spacing w:line="360" w:lineRule="auto"/>
        <w:rPr>
          <w:rFonts w:hint="eastAsia" w:ascii="仿宋" w:hAnsi="仿宋" w:eastAsia="仿宋" w:cs="仿宋"/>
          <w:color w:val="auto"/>
          <w:sz w:val="24"/>
          <w:highlight w:val="none"/>
        </w:rPr>
      </w:pPr>
    </w:p>
    <w:p>
      <w:pPr>
        <w:pStyle w:val="8"/>
        <w:keepNext/>
        <w:keepLines/>
        <w:pageBreakBefore/>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、参加本次采购活动前3年内，在经营活动中没有重大违法记录的承诺</w:t>
      </w:r>
    </w:p>
    <w:p>
      <w:pPr>
        <w:pStyle w:val="8"/>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（代理机构名称）：</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我单位在此郑重承诺：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我单位在参加本次采购活动前三年（本次响应文件递交截止时间前三年），在经营活动中没有重大违法记录。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我单位对承诺的真实性有效性负法律责任。</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供应商全称（加盖单位公章）：</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keepLines/>
        <w:pageBreakBefore/>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auto"/>
          <w:highlight w:val="none"/>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lang w:eastAsia="zh-CN"/>
        </w:rPr>
        <w:t>、</w:t>
      </w:r>
      <w:r>
        <w:rPr>
          <w:rFonts w:hint="eastAsia" w:ascii="仿宋" w:hAnsi="仿宋" w:eastAsia="仿宋" w:cs="仿宋"/>
          <w:b/>
          <w:color w:val="auto"/>
          <w:kern w:val="0"/>
          <w:sz w:val="28"/>
          <w:szCs w:val="28"/>
          <w:highlight w:val="none"/>
          <w:lang w:val="en-US" w:eastAsia="zh-CN" w:bidi="ar"/>
        </w:rPr>
        <w:t>满足法律、行政法规规定的其它条件</w:t>
      </w:r>
    </w:p>
    <w:p>
      <w:pPr>
        <w:pStyle w:val="8"/>
        <w:spacing w:line="360" w:lineRule="auto"/>
        <w:rPr>
          <w:rFonts w:hint="eastAsia" w:ascii="仿宋" w:hAnsi="仿宋" w:eastAsia="仿宋" w:cs="仿宋"/>
          <w:color w:val="auto"/>
          <w:sz w:val="24"/>
          <w:highlight w:val="none"/>
          <w:u w:val="singl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（代理机构名称）：</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我单位在此申明并承诺如下： </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我单位参加本次采购活动满足与本项目相关的法律、行政法规规定的其它条件：供应商单位、现任法定代表人或主要负责人不具有行贿犯罪记录 。</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若我单位虚假承诺，将自行承担由此带来的一切后果（如取消磋商资格、成交资格，法定时间内禁止参与采购竞标活动等）。 </w:t>
      </w:r>
    </w:p>
    <w:p>
      <w:pPr>
        <w:pStyle w:val="8"/>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hint="eastAsia" w:ascii="仿宋" w:hAnsi="仿宋" w:eastAsia="仿宋" w:cs="仿宋"/>
          <w:color w:val="auto"/>
          <w:sz w:val="24"/>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供应商全称（加盖单位公章）：</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5040" w:firstLineChars="21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tabs>
          <w:tab w:val="left" w:pos="900"/>
        </w:tabs>
        <w:spacing w:line="360" w:lineRule="auto"/>
        <w:jc w:val="center"/>
        <w:rPr>
          <w:rFonts w:hint="eastAsia" w:ascii="仿宋" w:hAnsi="仿宋" w:eastAsia="仿宋" w:cs="仿宋"/>
          <w:b/>
          <w:color w:val="auto"/>
          <w:sz w:val="32"/>
          <w:highlight w:val="none"/>
        </w:rPr>
      </w:pPr>
    </w:p>
    <w:p>
      <w:pPr>
        <w:pStyle w:val="8"/>
        <w:rPr>
          <w:rFonts w:hint="eastAsia" w:ascii="仿宋" w:hAnsi="仿宋" w:eastAsia="仿宋" w:cs="仿宋"/>
          <w:b/>
          <w:color w:val="auto"/>
          <w:sz w:val="32"/>
          <w:highlight w:val="none"/>
        </w:rPr>
      </w:pPr>
    </w:p>
    <w:p>
      <w:pPr>
        <w:rPr>
          <w:rFonts w:hint="eastAsia" w:ascii="仿宋" w:hAnsi="仿宋" w:eastAsia="仿宋" w:cs="仿宋"/>
          <w:b/>
          <w:color w:val="auto"/>
          <w:sz w:val="32"/>
          <w:highlight w:val="none"/>
        </w:rPr>
      </w:pPr>
    </w:p>
    <w:p>
      <w:pPr>
        <w:pStyle w:val="8"/>
        <w:rPr>
          <w:rFonts w:hint="eastAsia" w:ascii="仿宋" w:hAnsi="仿宋" w:eastAsia="仿宋" w:cs="仿宋"/>
          <w:b/>
          <w:color w:val="auto"/>
          <w:sz w:val="32"/>
          <w:highlight w:val="none"/>
        </w:rPr>
      </w:pPr>
    </w:p>
    <w:p>
      <w:pPr>
        <w:rPr>
          <w:rFonts w:hint="eastAsia" w:ascii="仿宋" w:hAnsi="仿宋" w:eastAsia="仿宋" w:cs="仿宋"/>
          <w:b/>
          <w:color w:val="auto"/>
          <w:sz w:val="32"/>
          <w:highlight w:val="none"/>
        </w:rPr>
      </w:pPr>
    </w:p>
    <w:p>
      <w:pPr>
        <w:pStyle w:val="8"/>
        <w:rPr>
          <w:rFonts w:hint="eastAsia" w:ascii="仿宋" w:hAnsi="仿宋" w:eastAsia="仿宋" w:cs="仿宋"/>
          <w:b/>
          <w:color w:val="auto"/>
          <w:sz w:val="32"/>
          <w:highlight w:val="none"/>
        </w:rPr>
      </w:pPr>
    </w:p>
    <w:p>
      <w:pPr>
        <w:rPr>
          <w:rFonts w:hint="eastAsia" w:ascii="仿宋" w:hAnsi="仿宋" w:eastAsia="仿宋" w:cs="仿宋"/>
          <w:b/>
          <w:color w:val="auto"/>
          <w:sz w:val="32"/>
          <w:highlight w:val="none"/>
        </w:rPr>
      </w:pPr>
    </w:p>
    <w:p>
      <w:pPr>
        <w:pStyle w:val="8"/>
        <w:rPr>
          <w:rFonts w:hint="eastAsia" w:ascii="仿宋" w:hAnsi="仿宋" w:eastAsia="仿宋" w:cs="仿宋"/>
          <w:b/>
          <w:color w:val="auto"/>
          <w:sz w:val="32"/>
          <w:highlight w:val="none"/>
        </w:rPr>
      </w:pPr>
    </w:p>
    <w:p>
      <w:pPr>
        <w:rPr>
          <w:rFonts w:hint="eastAsia" w:ascii="仿宋" w:hAnsi="仿宋" w:eastAsia="仿宋" w:cs="仿宋"/>
          <w:b/>
          <w:color w:val="auto"/>
          <w:sz w:val="32"/>
          <w:highlight w:val="none"/>
        </w:rPr>
      </w:pPr>
    </w:p>
    <w:p>
      <w:pPr>
        <w:pStyle w:val="8"/>
        <w:rPr>
          <w:rFonts w:hint="eastAsia" w:ascii="仿宋" w:hAnsi="仿宋" w:eastAsia="仿宋" w:cs="仿宋"/>
          <w:b/>
          <w:color w:val="auto"/>
          <w:sz w:val="32"/>
          <w:highlight w:val="none"/>
        </w:rPr>
      </w:pPr>
    </w:p>
    <w:p>
      <w:pPr>
        <w:tabs>
          <w:tab w:val="left" w:pos="900"/>
        </w:tabs>
        <w:spacing w:line="360" w:lineRule="auto"/>
        <w:jc w:val="center"/>
        <w:rPr>
          <w:rFonts w:hint="eastAsia" w:ascii="仿宋" w:hAnsi="仿宋" w:eastAsia="仿宋" w:cs="仿宋"/>
          <w:b/>
          <w:color w:val="auto"/>
          <w:sz w:val="32"/>
          <w:highlight w:val="none"/>
        </w:rPr>
      </w:pPr>
    </w:p>
    <w:p>
      <w:pPr>
        <w:tabs>
          <w:tab w:val="left" w:pos="900"/>
        </w:tabs>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第二部分    “其他响应性文件”格式</w:t>
      </w: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格式2-1</w:t>
      </w:r>
    </w:p>
    <w:p>
      <w:pPr>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封面：</w:t>
      </w:r>
    </w:p>
    <w:p>
      <w:pPr>
        <w:spacing w:line="360" w:lineRule="auto"/>
        <w:jc w:val="right"/>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（正本/副本）</w:t>
      </w:r>
    </w:p>
    <w:p>
      <w:pPr>
        <w:spacing w:line="360" w:lineRule="auto"/>
        <w:rPr>
          <w:rFonts w:hint="eastAsia" w:ascii="仿宋" w:hAnsi="仿宋" w:eastAsia="仿宋" w:cs="仿宋"/>
          <w:b/>
          <w:color w:val="auto"/>
          <w:sz w:val="32"/>
          <w:szCs w:val="32"/>
          <w:highlight w:val="none"/>
        </w:rPr>
      </w:pPr>
    </w:p>
    <w:p>
      <w:pPr>
        <w:spacing w:line="360" w:lineRule="auto"/>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u w:val="single"/>
        </w:rPr>
        <w:t xml:space="preserve">                      </w:t>
      </w:r>
      <w:r>
        <w:rPr>
          <w:rFonts w:hint="eastAsia" w:ascii="仿宋" w:hAnsi="仿宋" w:eastAsia="仿宋" w:cs="仿宋"/>
          <w:b/>
          <w:color w:val="auto"/>
          <w:sz w:val="40"/>
          <w:szCs w:val="48"/>
          <w:highlight w:val="none"/>
        </w:rPr>
        <w:t>项目</w:t>
      </w:r>
    </w:p>
    <w:p>
      <w:pPr>
        <w:spacing w:line="360" w:lineRule="auto"/>
        <w:rPr>
          <w:rFonts w:hint="eastAsia" w:ascii="仿宋" w:hAnsi="仿宋" w:eastAsia="仿宋" w:cs="仿宋"/>
          <w:b/>
          <w:color w:val="auto"/>
          <w:sz w:val="52"/>
          <w:szCs w:val="5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52"/>
          <w:szCs w:val="52"/>
          <w:highlight w:val="none"/>
        </w:rPr>
        <w:t>其他响应性文件</w:t>
      </w:r>
    </w:p>
    <w:p>
      <w:pPr>
        <w:spacing w:line="360" w:lineRule="auto"/>
        <w:rPr>
          <w:rFonts w:hint="eastAsia" w:ascii="仿宋" w:hAnsi="仿宋" w:eastAsia="仿宋" w:cs="仿宋"/>
          <w:b/>
          <w:color w:val="auto"/>
          <w:sz w:val="36"/>
          <w:highlight w:val="none"/>
        </w:rPr>
      </w:pPr>
    </w:p>
    <w:p>
      <w:pPr>
        <w:spacing w:line="360" w:lineRule="auto"/>
        <w:rPr>
          <w:rFonts w:hint="eastAsia" w:ascii="仿宋" w:hAnsi="仿宋" w:eastAsia="仿宋" w:cs="仿宋"/>
          <w:b/>
          <w:color w:val="auto"/>
          <w:sz w:val="36"/>
          <w:highlight w:val="none"/>
        </w:rPr>
      </w:pPr>
    </w:p>
    <w:p>
      <w:pPr>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供应商名称：</w:t>
      </w:r>
      <w:r>
        <w:rPr>
          <w:rFonts w:hint="eastAsia" w:ascii="仿宋" w:hAnsi="仿宋" w:eastAsia="仿宋" w:cs="仿宋"/>
          <w:b/>
          <w:color w:val="auto"/>
          <w:sz w:val="32"/>
          <w:highlight w:val="none"/>
          <w:u w:val="single"/>
        </w:rPr>
        <w:t xml:space="preserve">                                 </w:t>
      </w:r>
    </w:p>
    <w:p>
      <w:pPr>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采购项目编号：</w:t>
      </w:r>
      <w:r>
        <w:rPr>
          <w:rFonts w:hint="eastAsia" w:ascii="仿宋" w:hAnsi="仿宋" w:eastAsia="仿宋" w:cs="仿宋"/>
          <w:b/>
          <w:color w:val="auto"/>
          <w:sz w:val="32"/>
          <w:highlight w:val="none"/>
          <w:u w:val="single"/>
        </w:rPr>
        <w:t xml:space="preserve">                                 </w:t>
      </w:r>
    </w:p>
    <w:p>
      <w:pPr>
        <w:spacing w:line="360" w:lineRule="auto"/>
        <w:ind w:firstLine="790" w:firstLineChars="246"/>
        <w:jc w:val="left"/>
        <w:rPr>
          <w:rFonts w:hint="default"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lang w:val="en-US" w:eastAsia="zh-CN"/>
        </w:rPr>
        <w:t>包号：</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lang w:val="en-US" w:eastAsia="zh-CN"/>
        </w:rPr>
        <w:t xml:space="preserve"> </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highlight w:val="none"/>
        </w:rPr>
        <w:t>响应时间：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月</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日</w:t>
      </w:r>
    </w:p>
    <w:p>
      <w:pPr>
        <w:rPr>
          <w:rFonts w:hint="eastAsia" w:ascii="仿宋" w:hAnsi="仿宋" w:eastAsia="仿宋" w:cs="仿宋"/>
          <w:b/>
          <w:bCs/>
          <w:color w:val="auto"/>
          <w:sz w:val="32"/>
          <w:szCs w:val="32"/>
          <w:highlight w:val="none"/>
        </w:rPr>
      </w:pPr>
    </w:p>
    <w:p>
      <w:pPr>
        <w:spacing w:before="312" w:beforeLines="100" w:after="46" w:afterLines="15"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一、供应商基本情况表</w:t>
      </w:r>
    </w:p>
    <w:p>
      <w:pPr>
        <w:spacing w:line="400" w:lineRule="exact"/>
        <w:jc w:val="center"/>
        <w:rPr>
          <w:rFonts w:hint="eastAsia" w:ascii="仿宋" w:hAnsi="仿宋" w:eastAsia="仿宋" w:cs="仿宋"/>
          <w:b/>
          <w:bCs/>
          <w:color w:val="auto"/>
          <w:sz w:val="32"/>
          <w:szCs w:val="32"/>
          <w:highlight w:val="none"/>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供应商名称</w:t>
            </w:r>
          </w:p>
        </w:tc>
        <w:tc>
          <w:tcPr>
            <w:tcW w:w="756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注册地址</w:t>
            </w:r>
          </w:p>
        </w:tc>
        <w:tc>
          <w:tcPr>
            <w:tcW w:w="46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邮政编码</w:t>
            </w:r>
          </w:p>
        </w:tc>
        <w:tc>
          <w:tcPr>
            <w:tcW w:w="162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联系方式</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联系人</w:t>
            </w:r>
          </w:p>
        </w:tc>
        <w:tc>
          <w:tcPr>
            <w:tcW w:w="360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联系电话</w:t>
            </w:r>
          </w:p>
        </w:tc>
        <w:tc>
          <w:tcPr>
            <w:tcW w:w="162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传真</w:t>
            </w:r>
          </w:p>
        </w:tc>
        <w:tc>
          <w:tcPr>
            <w:tcW w:w="360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网址</w:t>
            </w:r>
          </w:p>
        </w:tc>
        <w:tc>
          <w:tcPr>
            <w:tcW w:w="162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组织结构</w:t>
            </w:r>
          </w:p>
        </w:tc>
        <w:tc>
          <w:tcPr>
            <w:tcW w:w="756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法定代表人</w:t>
            </w: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姓名</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技术职称</w:t>
            </w: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联系电话</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技术负责人</w:t>
            </w: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姓名</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技术职称</w:t>
            </w: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26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联系电话</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成立时间</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5040"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企业资质等级</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其中</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项目经理</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营业执照</w:t>
            </w:r>
            <w:r>
              <w:rPr>
                <w:rFonts w:hint="eastAsia" w:ascii="仿宋" w:hAnsi="仿宋" w:eastAsia="仿宋" w:cs="仿宋"/>
                <w:color w:val="auto"/>
                <w:sz w:val="22"/>
                <w:szCs w:val="28"/>
                <w:highlight w:val="none"/>
              </w:rPr>
              <w:t>号</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高级职称人员</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注册资金</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中级职称人员</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开户银行</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初级职称人员</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账号</w:t>
            </w:r>
          </w:p>
        </w:tc>
        <w:tc>
          <w:tcPr>
            <w:tcW w:w="252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技工</w:t>
            </w:r>
          </w:p>
        </w:tc>
        <w:tc>
          <w:tcPr>
            <w:tcW w:w="168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经营范围</w:t>
            </w:r>
          </w:p>
        </w:tc>
        <w:tc>
          <w:tcPr>
            <w:tcW w:w="756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备注</w:t>
            </w:r>
          </w:p>
        </w:tc>
        <w:tc>
          <w:tcPr>
            <w:tcW w:w="756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2"/>
                <w:szCs w:val="22"/>
                <w:highlight w:val="none"/>
              </w:rPr>
            </w:pPr>
          </w:p>
        </w:tc>
      </w:tr>
    </w:tbl>
    <w:p>
      <w:pPr>
        <w:adjustRightInd w:val="0"/>
        <w:spacing w:line="400" w:lineRule="exact"/>
        <w:jc w:val="left"/>
        <w:rPr>
          <w:rFonts w:hint="eastAsia" w:ascii="仿宋" w:hAnsi="仿宋" w:eastAsia="仿宋" w:cs="仿宋"/>
          <w:color w:val="auto"/>
          <w:sz w:val="24"/>
          <w:highlight w:val="none"/>
        </w:rPr>
      </w:pPr>
    </w:p>
    <w:p>
      <w:pPr>
        <w:adjustRightIn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pPr>
        <w:adjustRightInd w:val="0"/>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法定代表人或授权代表（签字或盖章）：</w:t>
      </w:r>
      <w:r>
        <w:rPr>
          <w:rFonts w:hint="eastAsia" w:ascii="仿宋" w:hAnsi="仿宋" w:eastAsia="仿宋" w:cs="仿宋"/>
          <w:bCs/>
          <w:color w:val="auto"/>
          <w:sz w:val="24"/>
          <w:highlight w:val="none"/>
          <w:u w:val="single"/>
        </w:rPr>
        <w:t xml:space="preserve">        </w:t>
      </w:r>
    </w:p>
    <w:p>
      <w:pPr>
        <w:adjustRightInd w:val="0"/>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rPr>
          <w:rFonts w:hint="eastAsia" w:ascii="仿宋" w:hAnsi="仿宋" w:eastAsia="仿宋" w:cs="仿宋"/>
          <w:b/>
          <w:bCs/>
          <w:color w:val="auto"/>
          <w:sz w:val="36"/>
          <w:highlight w:val="none"/>
        </w:rPr>
      </w:pPr>
    </w:p>
    <w:p>
      <w:pPr>
        <w:spacing w:line="400" w:lineRule="exact"/>
        <w:ind w:firstLine="562" w:firstLineChars="200"/>
        <w:jc w:val="center"/>
        <w:rPr>
          <w:rFonts w:hint="eastAsia" w:ascii="仿宋" w:hAnsi="仿宋" w:eastAsia="仿宋" w:cs="仿宋"/>
          <w:b/>
          <w:color w:val="auto"/>
          <w:sz w:val="28"/>
          <w:szCs w:val="28"/>
          <w:highlight w:val="none"/>
        </w:rPr>
      </w:pPr>
    </w:p>
    <w:p>
      <w:pPr>
        <w:spacing w:line="400" w:lineRule="exact"/>
        <w:ind w:firstLine="562" w:firstLineChars="200"/>
        <w:jc w:val="center"/>
        <w:rPr>
          <w:rFonts w:hint="eastAsia" w:ascii="仿宋" w:hAnsi="仿宋" w:eastAsia="仿宋" w:cs="仿宋"/>
          <w:b/>
          <w:color w:val="auto"/>
          <w:sz w:val="28"/>
          <w:szCs w:val="28"/>
          <w:highlight w:val="none"/>
        </w:rPr>
      </w:pPr>
    </w:p>
    <w:p>
      <w:pPr>
        <w:spacing w:before="312" w:beforeLines="100" w:after="46" w:afterLines="15"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二、报价函</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（代理机构名称）：</w:t>
      </w:r>
    </w:p>
    <w:p>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1.我方全面研究了“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”项目磋商文件（采购编号：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），决定参加贵单位组织的本项目磋商采购。</w:t>
      </w:r>
    </w:p>
    <w:p>
      <w:pPr>
        <w:spacing w:line="400" w:lineRule="exact"/>
        <w:ind w:left="1439" w:leftChars="228"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2.我方自愿按照磋商文件规定的各项要求向采购人提供所需服务，</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报</w:t>
      </w:r>
    </w:p>
    <w:p>
      <w:pPr>
        <w:spacing w:line="40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价</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u w:val="none"/>
          <w:lang w:val="en-US" w:eastAsia="zh-CN"/>
        </w:rPr>
        <w:t>费</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single"/>
          <w:lang w:val="en-US" w:eastAsia="zh-CN"/>
        </w:rPr>
        <w:t xml:space="preserve">        元</w:t>
      </w:r>
      <w:r>
        <w:rPr>
          <w:rFonts w:hint="eastAsia" w:ascii="仿宋" w:hAnsi="仿宋" w:eastAsia="仿宋" w:cs="仿宋"/>
          <w:color w:val="auto"/>
          <w:sz w:val="24"/>
          <w:highlight w:val="none"/>
          <w:u w:val="none"/>
          <w:lang w:val="en-US" w:eastAsia="zh-CN"/>
        </w:rPr>
        <w:t>，服务期限：</w:t>
      </w:r>
      <w:r>
        <w:rPr>
          <w:rFonts w:hint="eastAsia" w:ascii="仿宋" w:hAnsi="仿宋" w:eastAsia="仿宋" w:cs="仿宋"/>
          <w:color w:val="auto"/>
          <w:sz w:val="24"/>
          <w:highlight w:val="none"/>
          <w:u w:val="single"/>
          <w:lang w:val="en-US" w:eastAsia="zh-CN"/>
        </w:rPr>
        <w:t>合同签订后</w:t>
      </w:r>
      <w:r>
        <w:rPr>
          <w:rFonts w:hint="default" w:ascii="仿宋" w:hAnsi="仿宋" w:eastAsia="仿宋" w:cs="仿宋"/>
          <w:color w:val="auto"/>
          <w:sz w:val="24"/>
          <w:highlight w:val="none"/>
          <w:u w:val="single"/>
          <w:lang w:val="en-US" w:eastAsia="zh-CN"/>
        </w:rPr>
        <w:t>30个日历天完成概念方案设计</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none"/>
          <w:lang w:val="en-US" w:eastAsia="zh-CN"/>
        </w:rPr>
        <w:t xml:space="preserve">  </w:t>
      </w:r>
    </w:p>
    <w:p>
      <w:pPr>
        <w:spacing w:line="400" w:lineRule="exact"/>
        <w:ind w:left="1439" w:leftChars="228"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3.一旦我方成交，我方将严格履行采购合同规定的责任和义务。</w:t>
      </w:r>
    </w:p>
    <w:p>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4.我方同意本磋商文件依据《四川省政府采购当事人诚信管理办法》（川财采〔2015〕33号文件）对我方可能存在的失信行为进行惩戒。</w:t>
      </w:r>
    </w:p>
    <w:p>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5.我方为本项目提交的响应文件正本1份，副本2份，电子文档1份用于磋商报价。</w:t>
      </w:r>
    </w:p>
    <w:p>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6.我方愿意提供贵单位可能另外要求的，与磋商报价有关的文件资料，并保证我方已提供和将要提供的文件资料是真实、准确的。</w:t>
      </w:r>
    </w:p>
    <w:p>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7.本次磋商，我方递交的响应文件有效期为磋商文件规定起算之日起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adjustRightInd w:val="0"/>
        <w:spacing w:line="400" w:lineRule="exact"/>
        <w:ind w:firstLine="480" w:firstLineChars="200"/>
        <w:jc w:val="left"/>
        <w:rPr>
          <w:rFonts w:hint="eastAsia" w:ascii="仿宋" w:hAnsi="仿宋" w:eastAsia="仿宋" w:cs="仿宋"/>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 xml:space="preserve">      </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spacing w:line="40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jc w:val="center"/>
        <w:rPr>
          <w:rFonts w:hint="eastAsia" w:ascii="仿宋" w:hAnsi="仿宋" w:eastAsia="仿宋" w:cs="仿宋"/>
          <w:color w:val="auto"/>
          <w:sz w:val="24"/>
          <w:highlight w:val="none"/>
        </w:rPr>
      </w:pPr>
    </w:p>
    <w:p>
      <w:pPr>
        <w:keepNext w:val="0"/>
        <w:keepLines w:val="0"/>
        <w:pageBreakBefore/>
        <w:widowControl w:val="0"/>
        <w:kinsoku/>
        <w:wordWrap/>
        <w:overflowPunct/>
        <w:topLinePunct w:val="0"/>
        <w:autoSpaceDE/>
        <w:autoSpaceDN/>
        <w:bidi w:val="0"/>
        <w:adjustRightInd/>
        <w:snapToGrid/>
        <w:spacing w:before="240" w:beforeLines="100" w:after="36" w:afterLines="15" w:line="360" w:lineRule="auto"/>
        <w:jc w:val="center"/>
        <w:textAlignment w:val="auto"/>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三、报价表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（代理机构名称）：</w:t>
      </w:r>
    </w:p>
    <w:tbl>
      <w:tblPr>
        <w:tblStyle w:val="22"/>
        <w:tblpPr w:leftFromText="180" w:rightFromText="180" w:vertAnchor="text" w:horzAnchor="page" w:tblpX="1767" w:tblpY="400"/>
        <w:tblOverlap w:val="never"/>
        <w:tblW w:w="49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70"/>
        <w:gridCol w:w="2050"/>
        <w:gridCol w:w="183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75" w:type="pct"/>
            <w:noWrap w:val="0"/>
            <w:vAlign w:val="center"/>
          </w:tcPr>
          <w:p>
            <w:pPr>
              <w:widowControl/>
              <w:spacing w:line="360" w:lineRule="auto"/>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47" w:type="pct"/>
            <w:noWrap w:val="0"/>
            <w:vAlign w:val="center"/>
          </w:tcPr>
          <w:p>
            <w:pPr>
              <w:widowControl/>
              <w:spacing w:line="360" w:lineRule="auto"/>
              <w:jc w:val="center"/>
              <w:outlineLvl w:val="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项目名称及包号</w:t>
            </w:r>
          </w:p>
        </w:tc>
        <w:tc>
          <w:tcPr>
            <w:tcW w:w="1234"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w:t>
            </w:r>
          </w:p>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（元）</w:t>
            </w:r>
          </w:p>
          <w:p>
            <w:pPr>
              <w:widowControl/>
              <w:spacing w:line="360" w:lineRule="auto"/>
              <w:jc w:val="center"/>
              <w:outlineLvl w:val="1"/>
              <w:rPr>
                <w:rFonts w:hint="eastAsia" w:ascii="仿宋" w:hAnsi="仿宋" w:eastAsia="仿宋" w:cs="仿宋"/>
                <w:color w:val="auto"/>
                <w:sz w:val="24"/>
                <w:highlight w:val="none"/>
              </w:rPr>
            </w:pPr>
          </w:p>
        </w:tc>
        <w:tc>
          <w:tcPr>
            <w:tcW w:w="1105" w:type="pct"/>
            <w:noWrap w:val="0"/>
            <w:vAlign w:val="center"/>
          </w:tcPr>
          <w:p>
            <w:pPr>
              <w:widowControl/>
              <w:spacing w:line="360" w:lineRule="auto"/>
              <w:jc w:val="center"/>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服务期限</w:t>
            </w:r>
          </w:p>
        </w:tc>
        <w:tc>
          <w:tcPr>
            <w:tcW w:w="636" w:type="pct"/>
            <w:noWrap w:val="0"/>
            <w:vAlign w:val="center"/>
          </w:tcPr>
          <w:p>
            <w:pPr>
              <w:widowControl/>
              <w:spacing w:line="360" w:lineRule="auto"/>
              <w:jc w:val="center"/>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475"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547"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p>
        </w:tc>
        <w:tc>
          <w:tcPr>
            <w:tcW w:w="1234"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服务费为：</w:t>
            </w:r>
          </w:p>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p>
        </w:tc>
        <w:tc>
          <w:tcPr>
            <w:tcW w:w="1105"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p>
          <w:p>
            <w:pPr>
              <w:widowControl/>
              <w:spacing w:line="360" w:lineRule="auto"/>
              <w:jc w:val="center"/>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合同签订后30个日历天完成概念方案设计</w:t>
            </w:r>
          </w:p>
        </w:tc>
        <w:tc>
          <w:tcPr>
            <w:tcW w:w="636" w:type="pct"/>
            <w:noWrap w:val="0"/>
            <w:vAlign w:val="center"/>
          </w:tcPr>
          <w:p>
            <w:pPr>
              <w:widowControl/>
              <w:spacing w:line="360" w:lineRule="auto"/>
              <w:jc w:val="center"/>
              <w:outlineLvl w:val="1"/>
              <w:rPr>
                <w:rFonts w:hint="eastAsia" w:ascii="仿宋" w:hAnsi="仿宋" w:eastAsia="仿宋" w:cs="仿宋"/>
                <w:color w:val="auto"/>
                <w:sz w:val="24"/>
                <w:highlight w:val="none"/>
                <w:lang w:val="en-US" w:eastAsia="zh-CN"/>
              </w:rPr>
            </w:pPr>
          </w:p>
        </w:tc>
      </w:tr>
    </w:tbl>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1.以上表格格式行可增减。</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.磋商报价应是磋商文件要求的全部服务的报价，包括人工费、</w:t>
      </w:r>
      <w:r>
        <w:rPr>
          <w:rFonts w:hint="eastAsia" w:ascii="仿宋" w:hAnsi="仿宋" w:eastAsia="仿宋" w:cs="仿宋"/>
          <w:color w:val="auto"/>
          <w:sz w:val="24"/>
          <w:szCs w:val="24"/>
          <w:highlight w:val="none"/>
          <w:lang w:val="en-US" w:eastAsia="zh-CN"/>
        </w:rPr>
        <w:t>保险、设备、耗材、税收、劳动安全保护、</w:t>
      </w:r>
      <w:r>
        <w:rPr>
          <w:rFonts w:hint="eastAsia" w:ascii="仿宋" w:hAnsi="仿宋" w:eastAsia="仿宋" w:cs="仿宋"/>
          <w:color w:val="auto"/>
          <w:sz w:val="24"/>
          <w:highlight w:val="none"/>
        </w:rPr>
        <w:t>培训等费用以及一切其它相关费用。</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.“报价表”为多页的，每页均需加盖供应商公章。</w:t>
      </w:r>
    </w:p>
    <w:p>
      <w:pPr>
        <w:spacing w:line="400" w:lineRule="exact"/>
        <w:ind w:firstLine="420" w:firstLineChars="200"/>
        <w:rPr>
          <w:rFonts w:hint="eastAsia" w:ascii="仿宋" w:hAnsi="仿宋" w:eastAsia="仿宋" w:cs="仿宋"/>
          <w:color w:val="auto"/>
          <w:szCs w:val="21"/>
          <w:highlight w:val="none"/>
        </w:rPr>
      </w:pP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_______________</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（加盖公章）</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法定代表人或代理人：</w:t>
      </w:r>
      <w:r>
        <w:rPr>
          <w:rFonts w:hint="eastAsia" w:ascii="仿宋" w:hAnsi="仿宋" w:eastAsia="仿宋" w:cs="仿宋"/>
          <w:color w:val="auto"/>
          <w:sz w:val="24"/>
          <w:highlight w:val="none"/>
          <w:u w:val="single"/>
        </w:rPr>
        <w:t>_______________</w:t>
      </w:r>
      <w:r>
        <w:rPr>
          <w:rFonts w:hint="eastAsia" w:ascii="仿宋" w:hAnsi="仿宋" w:eastAsia="仿宋" w:cs="仿宋"/>
          <w:color w:val="auto"/>
          <w:sz w:val="24"/>
          <w:highlight w:val="none"/>
        </w:rPr>
        <w:t>（签字</w:t>
      </w:r>
      <w:r>
        <w:rPr>
          <w:rFonts w:hint="eastAsia" w:ascii="仿宋" w:hAnsi="仿宋" w:eastAsia="仿宋" w:cs="仿宋"/>
          <w:bCs/>
          <w:color w:val="auto"/>
          <w:sz w:val="24"/>
          <w:highlight w:val="none"/>
        </w:rPr>
        <w:t>或签章</w:t>
      </w:r>
      <w:r>
        <w:rPr>
          <w:rFonts w:hint="eastAsia" w:ascii="仿宋" w:hAnsi="仿宋" w:eastAsia="仿宋" w:cs="仿宋"/>
          <w:color w:val="auto"/>
          <w:sz w:val="24"/>
          <w:highlight w:val="none"/>
        </w:rPr>
        <w:t>）</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keepLines/>
        <w:pageBreakBefore/>
        <w:widowControl w:val="0"/>
        <w:kinsoku/>
        <w:wordWrap/>
        <w:overflowPunct/>
        <w:topLinePunct w:val="0"/>
        <w:autoSpaceDE/>
        <w:autoSpaceDN/>
        <w:bidi w:val="0"/>
        <w:adjustRightInd/>
        <w:snapToGrid/>
        <w:spacing w:before="312" w:beforeLines="100" w:after="46" w:afterLines="15" w:line="400" w:lineRule="exact"/>
        <w:jc w:val="center"/>
        <w:textAlignment w:val="auto"/>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rPr>
        <w:t>服务要求应答表</w:t>
      </w:r>
    </w:p>
    <w:p>
      <w:pPr>
        <w:pStyle w:val="14"/>
        <w:pBdr>
          <w:bottom w:val="none" w:color="auto" w:sz="0" w:space="0"/>
        </w:pBdr>
        <w:tabs>
          <w:tab w:val="clear" w:pos="4153"/>
          <w:tab w:val="clear" w:pos="8306"/>
        </w:tabs>
        <w:snapToGrid/>
        <w:spacing w:line="400" w:lineRule="exact"/>
        <w:ind w:firstLine="720" w:firstLineChars="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pPr>
        <w:pStyle w:val="14"/>
        <w:pBdr>
          <w:bottom w:val="none" w:color="auto" w:sz="0" w:space="0"/>
        </w:pBdr>
        <w:tabs>
          <w:tab w:val="clear" w:pos="4153"/>
          <w:tab w:val="clear" w:pos="8306"/>
        </w:tabs>
        <w:snapToGrid/>
        <w:spacing w:line="400" w:lineRule="exact"/>
        <w:ind w:firstLine="720" w:firstLineChars="30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包号：</w:t>
      </w:r>
      <w:r>
        <w:rPr>
          <w:rFonts w:hint="eastAsia" w:ascii="仿宋" w:hAnsi="仿宋" w:eastAsia="仿宋" w:cs="仿宋"/>
          <w:color w:val="auto"/>
          <w:sz w:val="24"/>
          <w:szCs w:val="24"/>
          <w:highlight w:val="none"/>
          <w:u w:val="single"/>
          <w:lang w:val="en-US" w:eastAsia="zh-CN"/>
        </w:rPr>
        <w:t xml:space="preserve">       </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3027"/>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6"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027"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采购文件要求</w:t>
            </w:r>
          </w:p>
        </w:tc>
        <w:tc>
          <w:tcPr>
            <w:tcW w:w="3027"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266"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266"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266"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266"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c>
          <w:tcPr>
            <w:tcW w:w="3027" w:type="dxa"/>
          </w:tcPr>
          <w:p>
            <w:pPr>
              <w:spacing w:line="400" w:lineRule="exact"/>
              <w:jc w:val="center"/>
              <w:rPr>
                <w:rFonts w:hint="eastAsia" w:ascii="仿宋" w:hAnsi="仿宋" w:eastAsia="仿宋" w:cs="仿宋"/>
                <w:color w:val="auto"/>
                <w:sz w:val="24"/>
                <w:highlight w:val="none"/>
              </w:rPr>
            </w:pPr>
          </w:p>
        </w:tc>
      </w:tr>
    </w:tbl>
    <w:p>
      <w:pPr>
        <w:spacing w:line="400" w:lineRule="exact"/>
        <w:ind w:firstLine="482" w:firstLineChars="200"/>
        <w:rPr>
          <w:rFonts w:hint="eastAsia" w:ascii="仿宋" w:hAnsi="仿宋" w:eastAsia="仿宋" w:cs="仿宋"/>
          <w:b/>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p>
    <w:p>
      <w:pPr>
        <w:pStyle w:val="8"/>
        <w:rPr>
          <w:rFonts w:hint="eastAsia"/>
          <w:color w:val="auto"/>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pPr>
        <w:adjustRightInd w:val="0"/>
        <w:spacing w:line="40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法定代表人或授权代表（签字或盖章）：</w:t>
      </w:r>
      <w:r>
        <w:rPr>
          <w:rFonts w:hint="eastAsia" w:ascii="仿宋" w:hAnsi="仿宋" w:eastAsia="仿宋" w:cs="仿宋"/>
          <w:bCs/>
          <w:color w:val="auto"/>
          <w:sz w:val="24"/>
          <w:highlight w:val="none"/>
          <w:u w:val="single"/>
        </w:rPr>
        <w:t xml:space="preserve">         </w:t>
      </w:r>
    </w:p>
    <w:p>
      <w:pPr>
        <w:adjustRightInd w:val="0"/>
        <w:spacing w:line="400" w:lineRule="exact"/>
        <w:ind w:firstLine="540" w:firstLineChars="22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spacing w:before="312" w:beforeLines="100" w:after="46" w:afterLines="15" w:line="40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、商务应答表</w:t>
      </w:r>
    </w:p>
    <w:p>
      <w:pPr>
        <w:pStyle w:val="14"/>
        <w:pBdr>
          <w:bottom w:val="none" w:color="auto" w:sz="0" w:space="0"/>
        </w:pBdr>
        <w:tabs>
          <w:tab w:val="clear" w:pos="4153"/>
          <w:tab w:val="clear" w:pos="8306"/>
        </w:tabs>
        <w:snapToGrid/>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pPr>
        <w:pStyle w:val="14"/>
        <w:pBdr>
          <w:bottom w:val="none" w:color="auto" w:sz="0" w:space="0"/>
        </w:pBdr>
        <w:tabs>
          <w:tab w:val="clear" w:pos="4153"/>
          <w:tab w:val="clear" w:pos="8306"/>
        </w:tabs>
        <w:snapToGrid/>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包号：</w:t>
      </w:r>
      <w:r>
        <w:rPr>
          <w:rFonts w:hint="eastAsia" w:ascii="仿宋" w:hAnsi="仿宋" w:eastAsia="仿宋" w:cs="仿宋"/>
          <w:color w:val="auto"/>
          <w:sz w:val="24"/>
          <w:szCs w:val="24"/>
          <w:highlight w:val="none"/>
          <w:u w:val="single"/>
          <w:lang w:val="en-US" w:eastAsia="zh-CN"/>
        </w:rPr>
        <w:t xml:space="preserve">       </w:t>
      </w:r>
    </w:p>
    <w:tbl>
      <w:tblPr>
        <w:tblStyle w:val="2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481"/>
        <w:gridCol w:w="2704"/>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64"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81"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采购文件要求</w:t>
            </w:r>
          </w:p>
        </w:tc>
        <w:tc>
          <w:tcPr>
            <w:tcW w:w="2704"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响应文件响应</w:t>
            </w:r>
          </w:p>
        </w:tc>
        <w:tc>
          <w:tcPr>
            <w:tcW w:w="2621"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4" w:type="dxa"/>
          </w:tcPr>
          <w:p>
            <w:pPr>
              <w:spacing w:line="400" w:lineRule="exact"/>
              <w:jc w:val="center"/>
              <w:rPr>
                <w:rFonts w:hint="eastAsia" w:ascii="仿宋" w:hAnsi="仿宋" w:eastAsia="仿宋" w:cs="仿宋"/>
                <w:color w:val="auto"/>
                <w:sz w:val="24"/>
                <w:highlight w:val="none"/>
              </w:rPr>
            </w:pPr>
          </w:p>
        </w:tc>
        <w:tc>
          <w:tcPr>
            <w:tcW w:w="2481" w:type="dxa"/>
          </w:tcPr>
          <w:p>
            <w:pPr>
              <w:spacing w:line="400" w:lineRule="exact"/>
              <w:jc w:val="center"/>
              <w:rPr>
                <w:rFonts w:hint="eastAsia" w:ascii="仿宋" w:hAnsi="仿宋" w:eastAsia="仿宋" w:cs="仿宋"/>
                <w:color w:val="auto"/>
                <w:sz w:val="24"/>
                <w:highlight w:val="none"/>
              </w:rPr>
            </w:pPr>
          </w:p>
        </w:tc>
        <w:tc>
          <w:tcPr>
            <w:tcW w:w="2704" w:type="dxa"/>
          </w:tcPr>
          <w:p>
            <w:pPr>
              <w:spacing w:line="400" w:lineRule="exact"/>
              <w:jc w:val="center"/>
              <w:rPr>
                <w:rFonts w:hint="eastAsia" w:ascii="仿宋" w:hAnsi="仿宋" w:eastAsia="仿宋" w:cs="仿宋"/>
                <w:color w:val="auto"/>
                <w:sz w:val="24"/>
                <w:highlight w:val="none"/>
              </w:rPr>
            </w:pPr>
          </w:p>
        </w:tc>
        <w:tc>
          <w:tcPr>
            <w:tcW w:w="2621"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164" w:type="dxa"/>
          </w:tcPr>
          <w:p>
            <w:pPr>
              <w:spacing w:line="400" w:lineRule="exact"/>
              <w:jc w:val="center"/>
              <w:rPr>
                <w:rFonts w:hint="eastAsia" w:ascii="仿宋" w:hAnsi="仿宋" w:eastAsia="仿宋" w:cs="仿宋"/>
                <w:color w:val="auto"/>
                <w:sz w:val="24"/>
                <w:highlight w:val="none"/>
              </w:rPr>
            </w:pPr>
          </w:p>
        </w:tc>
        <w:tc>
          <w:tcPr>
            <w:tcW w:w="2481" w:type="dxa"/>
          </w:tcPr>
          <w:p>
            <w:pPr>
              <w:spacing w:line="400" w:lineRule="exact"/>
              <w:jc w:val="center"/>
              <w:rPr>
                <w:rFonts w:hint="eastAsia" w:ascii="仿宋" w:hAnsi="仿宋" w:eastAsia="仿宋" w:cs="仿宋"/>
                <w:color w:val="auto"/>
                <w:sz w:val="24"/>
                <w:highlight w:val="none"/>
              </w:rPr>
            </w:pPr>
          </w:p>
        </w:tc>
        <w:tc>
          <w:tcPr>
            <w:tcW w:w="2704" w:type="dxa"/>
          </w:tcPr>
          <w:p>
            <w:pPr>
              <w:spacing w:line="400" w:lineRule="exact"/>
              <w:jc w:val="center"/>
              <w:rPr>
                <w:rFonts w:hint="eastAsia" w:ascii="仿宋" w:hAnsi="仿宋" w:eastAsia="仿宋" w:cs="仿宋"/>
                <w:color w:val="auto"/>
                <w:sz w:val="24"/>
                <w:highlight w:val="none"/>
              </w:rPr>
            </w:pPr>
          </w:p>
        </w:tc>
        <w:tc>
          <w:tcPr>
            <w:tcW w:w="2621"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4" w:type="dxa"/>
          </w:tcPr>
          <w:p>
            <w:pPr>
              <w:spacing w:line="400" w:lineRule="exact"/>
              <w:jc w:val="center"/>
              <w:rPr>
                <w:rFonts w:hint="eastAsia" w:ascii="仿宋" w:hAnsi="仿宋" w:eastAsia="仿宋" w:cs="仿宋"/>
                <w:color w:val="auto"/>
                <w:sz w:val="24"/>
                <w:highlight w:val="none"/>
              </w:rPr>
            </w:pPr>
          </w:p>
        </w:tc>
        <w:tc>
          <w:tcPr>
            <w:tcW w:w="2481" w:type="dxa"/>
          </w:tcPr>
          <w:p>
            <w:pPr>
              <w:spacing w:line="400" w:lineRule="exact"/>
              <w:jc w:val="center"/>
              <w:rPr>
                <w:rFonts w:hint="eastAsia" w:ascii="仿宋" w:hAnsi="仿宋" w:eastAsia="仿宋" w:cs="仿宋"/>
                <w:color w:val="auto"/>
                <w:sz w:val="24"/>
                <w:highlight w:val="none"/>
              </w:rPr>
            </w:pPr>
          </w:p>
        </w:tc>
        <w:tc>
          <w:tcPr>
            <w:tcW w:w="2704" w:type="dxa"/>
          </w:tcPr>
          <w:p>
            <w:pPr>
              <w:spacing w:line="400" w:lineRule="exact"/>
              <w:jc w:val="center"/>
              <w:rPr>
                <w:rFonts w:hint="eastAsia" w:ascii="仿宋" w:hAnsi="仿宋" w:eastAsia="仿宋" w:cs="仿宋"/>
                <w:color w:val="auto"/>
                <w:sz w:val="24"/>
                <w:highlight w:val="none"/>
              </w:rPr>
            </w:pPr>
          </w:p>
        </w:tc>
        <w:tc>
          <w:tcPr>
            <w:tcW w:w="2621" w:type="dxa"/>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64"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highlight w:val="none"/>
              </w:rPr>
              <w:t>····</w:t>
            </w:r>
          </w:p>
        </w:tc>
        <w:tc>
          <w:tcPr>
            <w:tcW w:w="2481" w:type="dxa"/>
          </w:tcPr>
          <w:p>
            <w:pPr>
              <w:spacing w:line="400" w:lineRule="exact"/>
              <w:jc w:val="center"/>
              <w:rPr>
                <w:rFonts w:hint="eastAsia" w:ascii="仿宋" w:hAnsi="仿宋" w:eastAsia="仿宋" w:cs="仿宋"/>
                <w:color w:val="auto"/>
                <w:sz w:val="24"/>
                <w:highlight w:val="none"/>
              </w:rPr>
            </w:pPr>
          </w:p>
        </w:tc>
        <w:tc>
          <w:tcPr>
            <w:tcW w:w="2704" w:type="dxa"/>
          </w:tcPr>
          <w:p>
            <w:pPr>
              <w:spacing w:line="400" w:lineRule="exact"/>
              <w:jc w:val="center"/>
              <w:rPr>
                <w:rFonts w:hint="eastAsia" w:ascii="仿宋" w:hAnsi="仿宋" w:eastAsia="仿宋" w:cs="仿宋"/>
                <w:color w:val="auto"/>
                <w:sz w:val="24"/>
                <w:highlight w:val="none"/>
              </w:rPr>
            </w:pPr>
          </w:p>
        </w:tc>
        <w:tc>
          <w:tcPr>
            <w:tcW w:w="2621" w:type="dxa"/>
          </w:tcPr>
          <w:p>
            <w:pPr>
              <w:spacing w:line="400" w:lineRule="exact"/>
              <w:jc w:val="center"/>
              <w:rPr>
                <w:rFonts w:hint="eastAsia" w:ascii="仿宋" w:hAnsi="仿宋" w:eastAsia="仿宋" w:cs="仿宋"/>
                <w:color w:val="auto"/>
                <w:sz w:val="24"/>
                <w:highlight w:val="none"/>
              </w:rPr>
            </w:pPr>
          </w:p>
        </w:tc>
      </w:tr>
    </w:tbl>
    <w:p>
      <w:pPr>
        <w:spacing w:line="400" w:lineRule="exact"/>
        <w:ind w:firstLine="482" w:firstLineChars="200"/>
        <w:rPr>
          <w:rFonts w:hint="eastAsia" w:ascii="仿宋" w:hAnsi="仿宋" w:eastAsia="仿宋" w:cs="仿宋"/>
          <w:b/>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pPr>
        <w:adjustRightInd w:val="0"/>
        <w:spacing w:line="400" w:lineRule="exact"/>
        <w:ind w:firstLine="540" w:firstLineChars="22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法定代表人或授权代表（签字或盖章）：</w:t>
      </w:r>
      <w:r>
        <w:rPr>
          <w:rFonts w:hint="eastAsia" w:ascii="仿宋" w:hAnsi="仿宋" w:eastAsia="仿宋" w:cs="仿宋"/>
          <w:bCs/>
          <w:color w:val="auto"/>
          <w:sz w:val="24"/>
          <w:highlight w:val="none"/>
          <w:u w:val="single"/>
        </w:rPr>
        <w:t xml:space="preserve">         </w:t>
      </w:r>
    </w:p>
    <w:p>
      <w:pPr>
        <w:adjustRightInd w:val="0"/>
        <w:spacing w:line="400" w:lineRule="exact"/>
        <w:ind w:firstLine="540" w:firstLineChars="22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pStyle w:val="11"/>
        <w:tabs>
          <w:tab w:val="left" w:pos="0"/>
        </w:tabs>
        <w:jc w:val="center"/>
        <w:rPr>
          <w:rFonts w:hint="eastAsia" w:ascii="仿宋" w:hAnsi="仿宋" w:eastAsia="仿宋" w:cs="仿宋"/>
          <w:color w:val="auto"/>
          <w:highlight w:val="none"/>
        </w:rPr>
      </w:pPr>
    </w:p>
    <w:p>
      <w:pPr>
        <w:keepNext w:val="0"/>
        <w:keepLines w:val="0"/>
        <w:pageBreakBefore/>
        <w:widowControl w:val="0"/>
        <w:kinsoku/>
        <w:wordWrap/>
        <w:overflowPunct/>
        <w:topLinePunct w:val="0"/>
        <w:autoSpaceDE/>
        <w:autoSpaceDN/>
        <w:bidi w:val="0"/>
        <w:adjustRightInd/>
        <w:snapToGrid/>
        <w:spacing w:line="480" w:lineRule="exact"/>
        <w:ind w:firstLine="141" w:firstLineChars="50"/>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、实施本项目的主要人员情况表</w:t>
      </w:r>
    </w:p>
    <w:p>
      <w:pPr>
        <w:pStyle w:val="14"/>
        <w:pBdr>
          <w:bottom w:val="none" w:color="auto" w:sz="0" w:space="0"/>
        </w:pBdr>
        <w:tabs>
          <w:tab w:val="clear" w:pos="4153"/>
          <w:tab w:val="clear" w:pos="8306"/>
        </w:tabs>
        <w:snapToGrid/>
        <w:spacing w:line="400" w:lineRule="exact"/>
        <w:ind w:firstLine="720" w:firstLineChars="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pPr>
        <w:pStyle w:val="14"/>
        <w:pBdr>
          <w:bottom w:val="none" w:color="auto" w:sz="0" w:space="0"/>
        </w:pBdr>
        <w:tabs>
          <w:tab w:val="clear" w:pos="4153"/>
          <w:tab w:val="clear" w:pos="8306"/>
        </w:tabs>
        <w:snapToGrid/>
        <w:spacing w:line="400" w:lineRule="exact"/>
        <w:ind w:firstLine="720" w:firstLineChars="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包号：</w:t>
      </w:r>
      <w:r>
        <w:rPr>
          <w:rFonts w:hint="eastAsia" w:ascii="仿宋" w:hAnsi="仿宋" w:eastAsia="仿宋" w:cs="仿宋"/>
          <w:color w:val="auto"/>
          <w:sz w:val="24"/>
          <w:szCs w:val="24"/>
          <w:highlight w:val="none"/>
          <w:u w:val="single"/>
          <w:lang w:val="en-US" w:eastAsia="zh-CN"/>
        </w:rPr>
        <w:t xml:space="preserve">       </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804"/>
        <w:gridCol w:w="940"/>
        <w:gridCol w:w="939"/>
        <w:gridCol w:w="1220"/>
        <w:gridCol w:w="1331"/>
        <w:gridCol w:w="739"/>
        <w:gridCol w:w="74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804"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940"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39"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20"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常住地</w:t>
            </w:r>
          </w:p>
        </w:tc>
        <w:tc>
          <w:tcPr>
            <w:tcW w:w="3669" w:type="dxa"/>
            <w:gridSpan w:val="4"/>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相关资料（无可不提供）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Merge w:val="continue"/>
            <w:vAlign w:val="center"/>
          </w:tcPr>
          <w:p>
            <w:pPr>
              <w:spacing w:line="400" w:lineRule="exact"/>
              <w:jc w:val="center"/>
              <w:rPr>
                <w:rFonts w:hint="eastAsia" w:ascii="仿宋" w:hAnsi="仿宋" w:eastAsia="仿宋" w:cs="仿宋"/>
                <w:color w:val="auto"/>
                <w:sz w:val="24"/>
                <w:highlight w:val="none"/>
              </w:rPr>
            </w:pPr>
          </w:p>
        </w:tc>
        <w:tc>
          <w:tcPr>
            <w:tcW w:w="940" w:type="dxa"/>
            <w:vMerge w:val="continue"/>
            <w:vAlign w:val="center"/>
          </w:tcPr>
          <w:p>
            <w:pPr>
              <w:spacing w:line="400" w:lineRule="exact"/>
              <w:jc w:val="center"/>
              <w:rPr>
                <w:rFonts w:hint="eastAsia" w:ascii="仿宋" w:hAnsi="仿宋" w:eastAsia="仿宋" w:cs="仿宋"/>
                <w:color w:val="auto"/>
                <w:sz w:val="24"/>
                <w:highlight w:val="none"/>
              </w:rPr>
            </w:pPr>
          </w:p>
        </w:tc>
        <w:tc>
          <w:tcPr>
            <w:tcW w:w="939" w:type="dxa"/>
            <w:vMerge w:val="continue"/>
            <w:vAlign w:val="center"/>
          </w:tcPr>
          <w:p>
            <w:pPr>
              <w:spacing w:line="400" w:lineRule="exact"/>
              <w:jc w:val="center"/>
              <w:rPr>
                <w:rFonts w:hint="eastAsia" w:ascii="仿宋" w:hAnsi="仿宋" w:eastAsia="仿宋" w:cs="仿宋"/>
                <w:color w:val="auto"/>
                <w:sz w:val="24"/>
                <w:highlight w:val="none"/>
              </w:rPr>
            </w:pPr>
          </w:p>
        </w:tc>
        <w:tc>
          <w:tcPr>
            <w:tcW w:w="1220" w:type="dxa"/>
            <w:vMerge w:val="continue"/>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739"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747"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852" w:type="dxa"/>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48"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技术人员</w:t>
            </w: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管理</w:t>
            </w:r>
            <w:r>
              <w:rPr>
                <w:rFonts w:hint="eastAsia" w:ascii="仿宋" w:hAnsi="仿宋" w:eastAsia="仿宋" w:cs="仿宋"/>
                <w:color w:val="auto"/>
                <w:sz w:val="24"/>
                <w:highlight w:val="none"/>
              </w:rPr>
              <w:t>人员</w:t>
            </w: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48" w:type="dxa"/>
            <w:vMerge w:val="restart"/>
            <w:vAlign w:val="center"/>
          </w:tcPr>
          <w:p>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服务人员</w:t>
            </w: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color w:val="auto"/>
                <w:sz w:val="24"/>
                <w:highlight w:val="none"/>
              </w:rPr>
            </w:pPr>
          </w:p>
        </w:tc>
        <w:tc>
          <w:tcPr>
            <w:tcW w:w="939" w:type="dxa"/>
            <w:vAlign w:val="center"/>
          </w:tcPr>
          <w:p>
            <w:pPr>
              <w:spacing w:line="400" w:lineRule="exact"/>
              <w:jc w:val="center"/>
              <w:rPr>
                <w:rFonts w:hint="eastAsia" w:ascii="仿宋" w:hAnsi="仿宋" w:eastAsia="仿宋" w:cs="仿宋"/>
                <w:color w:val="auto"/>
                <w:sz w:val="24"/>
                <w:highlight w:val="none"/>
              </w:rPr>
            </w:pPr>
          </w:p>
        </w:tc>
        <w:tc>
          <w:tcPr>
            <w:tcW w:w="1220" w:type="dxa"/>
            <w:vAlign w:val="center"/>
          </w:tcPr>
          <w:p>
            <w:pPr>
              <w:spacing w:line="400" w:lineRule="exact"/>
              <w:jc w:val="center"/>
              <w:rPr>
                <w:rFonts w:hint="eastAsia" w:ascii="仿宋" w:hAnsi="仿宋" w:eastAsia="仿宋" w:cs="仿宋"/>
                <w:color w:val="auto"/>
                <w:sz w:val="24"/>
                <w:highlight w:val="none"/>
              </w:rPr>
            </w:pPr>
          </w:p>
        </w:tc>
        <w:tc>
          <w:tcPr>
            <w:tcW w:w="1331" w:type="dxa"/>
            <w:vAlign w:val="center"/>
          </w:tcPr>
          <w:p>
            <w:pPr>
              <w:spacing w:line="400" w:lineRule="exact"/>
              <w:jc w:val="center"/>
              <w:rPr>
                <w:rFonts w:hint="eastAsia" w:ascii="仿宋" w:hAnsi="仿宋" w:eastAsia="仿宋" w:cs="仿宋"/>
                <w:color w:val="auto"/>
                <w:sz w:val="24"/>
                <w:highlight w:val="none"/>
              </w:rPr>
            </w:pPr>
          </w:p>
        </w:tc>
        <w:tc>
          <w:tcPr>
            <w:tcW w:w="739" w:type="dxa"/>
            <w:vAlign w:val="center"/>
          </w:tcPr>
          <w:p>
            <w:pPr>
              <w:spacing w:line="400" w:lineRule="exact"/>
              <w:jc w:val="center"/>
              <w:rPr>
                <w:rFonts w:hint="eastAsia" w:ascii="仿宋" w:hAnsi="仿宋" w:eastAsia="仿宋" w:cs="仿宋"/>
                <w:color w:val="auto"/>
                <w:sz w:val="24"/>
                <w:highlight w:val="none"/>
              </w:rPr>
            </w:pPr>
          </w:p>
        </w:tc>
        <w:tc>
          <w:tcPr>
            <w:tcW w:w="747" w:type="dxa"/>
            <w:vAlign w:val="center"/>
          </w:tcPr>
          <w:p>
            <w:pPr>
              <w:spacing w:line="400" w:lineRule="exact"/>
              <w:jc w:val="center"/>
              <w:rPr>
                <w:rFonts w:hint="eastAsia" w:ascii="仿宋" w:hAnsi="仿宋" w:eastAsia="仿宋" w:cs="仿宋"/>
                <w:color w:val="auto"/>
                <w:sz w:val="24"/>
                <w:highlight w:val="none"/>
              </w:rPr>
            </w:pPr>
          </w:p>
        </w:tc>
        <w:tc>
          <w:tcPr>
            <w:tcW w:w="852" w:type="dxa"/>
            <w:vAlign w:val="center"/>
          </w:tcPr>
          <w:p>
            <w:pPr>
              <w:spacing w:line="4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bCs/>
                <w:color w:val="auto"/>
                <w:sz w:val="24"/>
                <w:highlight w:val="none"/>
              </w:rPr>
            </w:pPr>
          </w:p>
        </w:tc>
        <w:tc>
          <w:tcPr>
            <w:tcW w:w="939" w:type="dxa"/>
            <w:vAlign w:val="center"/>
          </w:tcPr>
          <w:p>
            <w:pPr>
              <w:spacing w:line="400" w:lineRule="exact"/>
              <w:jc w:val="center"/>
              <w:rPr>
                <w:rFonts w:hint="eastAsia" w:ascii="仿宋" w:hAnsi="仿宋" w:eastAsia="仿宋" w:cs="仿宋"/>
                <w:bCs/>
                <w:color w:val="auto"/>
                <w:sz w:val="24"/>
                <w:highlight w:val="none"/>
              </w:rPr>
            </w:pPr>
          </w:p>
        </w:tc>
        <w:tc>
          <w:tcPr>
            <w:tcW w:w="1220" w:type="dxa"/>
            <w:vAlign w:val="center"/>
          </w:tcPr>
          <w:p>
            <w:pPr>
              <w:spacing w:line="400" w:lineRule="exact"/>
              <w:jc w:val="center"/>
              <w:rPr>
                <w:rFonts w:hint="eastAsia" w:ascii="仿宋" w:hAnsi="仿宋" w:eastAsia="仿宋" w:cs="仿宋"/>
                <w:bCs/>
                <w:color w:val="auto"/>
                <w:sz w:val="24"/>
                <w:highlight w:val="none"/>
              </w:rPr>
            </w:pPr>
          </w:p>
        </w:tc>
        <w:tc>
          <w:tcPr>
            <w:tcW w:w="1331" w:type="dxa"/>
            <w:vAlign w:val="center"/>
          </w:tcPr>
          <w:p>
            <w:pPr>
              <w:spacing w:line="400" w:lineRule="exact"/>
              <w:jc w:val="center"/>
              <w:rPr>
                <w:rFonts w:hint="eastAsia" w:ascii="仿宋" w:hAnsi="仿宋" w:eastAsia="仿宋" w:cs="仿宋"/>
                <w:bCs/>
                <w:color w:val="auto"/>
                <w:sz w:val="24"/>
                <w:highlight w:val="none"/>
              </w:rPr>
            </w:pPr>
          </w:p>
        </w:tc>
        <w:tc>
          <w:tcPr>
            <w:tcW w:w="739" w:type="dxa"/>
            <w:vAlign w:val="center"/>
          </w:tcPr>
          <w:p>
            <w:pPr>
              <w:spacing w:line="400" w:lineRule="exact"/>
              <w:jc w:val="center"/>
              <w:rPr>
                <w:rFonts w:hint="eastAsia" w:ascii="仿宋" w:hAnsi="仿宋" w:eastAsia="仿宋" w:cs="仿宋"/>
                <w:bCs/>
                <w:color w:val="auto"/>
                <w:sz w:val="24"/>
                <w:highlight w:val="none"/>
              </w:rPr>
            </w:pPr>
          </w:p>
        </w:tc>
        <w:tc>
          <w:tcPr>
            <w:tcW w:w="747" w:type="dxa"/>
            <w:vAlign w:val="center"/>
          </w:tcPr>
          <w:p>
            <w:pPr>
              <w:spacing w:line="400" w:lineRule="exact"/>
              <w:jc w:val="center"/>
              <w:rPr>
                <w:rFonts w:hint="eastAsia" w:ascii="仿宋" w:hAnsi="仿宋" w:eastAsia="仿宋" w:cs="仿宋"/>
                <w:bCs/>
                <w:color w:val="auto"/>
                <w:sz w:val="24"/>
                <w:highlight w:val="none"/>
              </w:rPr>
            </w:pPr>
          </w:p>
        </w:tc>
        <w:tc>
          <w:tcPr>
            <w:tcW w:w="852" w:type="dxa"/>
            <w:vAlign w:val="center"/>
          </w:tcPr>
          <w:p>
            <w:pPr>
              <w:spacing w:line="400" w:lineRule="exact"/>
              <w:jc w:val="center"/>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248" w:type="dxa"/>
            <w:vMerge w:val="continue"/>
            <w:vAlign w:val="center"/>
          </w:tcPr>
          <w:p>
            <w:pPr>
              <w:spacing w:line="400" w:lineRule="exact"/>
              <w:jc w:val="center"/>
              <w:rPr>
                <w:rFonts w:hint="eastAsia" w:ascii="仿宋" w:hAnsi="仿宋" w:eastAsia="仿宋" w:cs="仿宋"/>
                <w:color w:val="auto"/>
                <w:sz w:val="24"/>
                <w:highlight w:val="none"/>
              </w:rPr>
            </w:pPr>
          </w:p>
        </w:tc>
        <w:tc>
          <w:tcPr>
            <w:tcW w:w="804" w:type="dxa"/>
            <w:vAlign w:val="center"/>
          </w:tcPr>
          <w:p>
            <w:pPr>
              <w:spacing w:line="400" w:lineRule="exact"/>
              <w:jc w:val="center"/>
              <w:rPr>
                <w:rFonts w:hint="eastAsia" w:ascii="仿宋" w:hAnsi="仿宋" w:eastAsia="仿宋" w:cs="仿宋"/>
                <w:color w:val="auto"/>
                <w:sz w:val="24"/>
                <w:highlight w:val="none"/>
              </w:rPr>
            </w:pPr>
          </w:p>
        </w:tc>
        <w:tc>
          <w:tcPr>
            <w:tcW w:w="940" w:type="dxa"/>
            <w:vAlign w:val="center"/>
          </w:tcPr>
          <w:p>
            <w:pPr>
              <w:spacing w:line="400" w:lineRule="exact"/>
              <w:jc w:val="center"/>
              <w:rPr>
                <w:rFonts w:hint="eastAsia" w:ascii="仿宋" w:hAnsi="仿宋" w:eastAsia="仿宋" w:cs="仿宋"/>
                <w:bCs/>
                <w:color w:val="auto"/>
                <w:sz w:val="24"/>
                <w:highlight w:val="none"/>
              </w:rPr>
            </w:pPr>
          </w:p>
        </w:tc>
        <w:tc>
          <w:tcPr>
            <w:tcW w:w="939" w:type="dxa"/>
            <w:vAlign w:val="center"/>
          </w:tcPr>
          <w:p>
            <w:pPr>
              <w:spacing w:line="400" w:lineRule="exact"/>
              <w:jc w:val="center"/>
              <w:rPr>
                <w:rFonts w:hint="eastAsia" w:ascii="仿宋" w:hAnsi="仿宋" w:eastAsia="仿宋" w:cs="仿宋"/>
                <w:bCs/>
                <w:color w:val="auto"/>
                <w:sz w:val="24"/>
                <w:highlight w:val="none"/>
              </w:rPr>
            </w:pPr>
          </w:p>
        </w:tc>
        <w:tc>
          <w:tcPr>
            <w:tcW w:w="1220" w:type="dxa"/>
            <w:vAlign w:val="center"/>
          </w:tcPr>
          <w:p>
            <w:pPr>
              <w:spacing w:line="400" w:lineRule="exact"/>
              <w:jc w:val="center"/>
              <w:rPr>
                <w:rFonts w:hint="eastAsia" w:ascii="仿宋" w:hAnsi="仿宋" w:eastAsia="仿宋" w:cs="仿宋"/>
                <w:bCs/>
                <w:color w:val="auto"/>
                <w:sz w:val="24"/>
                <w:highlight w:val="none"/>
              </w:rPr>
            </w:pPr>
          </w:p>
        </w:tc>
        <w:tc>
          <w:tcPr>
            <w:tcW w:w="1331" w:type="dxa"/>
            <w:vAlign w:val="center"/>
          </w:tcPr>
          <w:p>
            <w:pPr>
              <w:spacing w:line="400" w:lineRule="exact"/>
              <w:jc w:val="center"/>
              <w:rPr>
                <w:rFonts w:hint="eastAsia" w:ascii="仿宋" w:hAnsi="仿宋" w:eastAsia="仿宋" w:cs="仿宋"/>
                <w:bCs/>
                <w:color w:val="auto"/>
                <w:sz w:val="24"/>
                <w:highlight w:val="none"/>
              </w:rPr>
            </w:pPr>
          </w:p>
        </w:tc>
        <w:tc>
          <w:tcPr>
            <w:tcW w:w="739" w:type="dxa"/>
            <w:vAlign w:val="center"/>
          </w:tcPr>
          <w:p>
            <w:pPr>
              <w:spacing w:line="400" w:lineRule="exact"/>
              <w:jc w:val="center"/>
              <w:rPr>
                <w:rFonts w:hint="eastAsia" w:ascii="仿宋" w:hAnsi="仿宋" w:eastAsia="仿宋" w:cs="仿宋"/>
                <w:bCs/>
                <w:color w:val="auto"/>
                <w:sz w:val="24"/>
                <w:highlight w:val="none"/>
              </w:rPr>
            </w:pPr>
          </w:p>
        </w:tc>
        <w:tc>
          <w:tcPr>
            <w:tcW w:w="747" w:type="dxa"/>
            <w:vAlign w:val="center"/>
          </w:tcPr>
          <w:p>
            <w:pPr>
              <w:spacing w:line="400" w:lineRule="exact"/>
              <w:jc w:val="center"/>
              <w:rPr>
                <w:rFonts w:hint="eastAsia" w:ascii="仿宋" w:hAnsi="仿宋" w:eastAsia="仿宋" w:cs="仿宋"/>
                <w:bCs/>
                <w:color w:val="auto"/>
                <w:sz w:val="24"/>
                <w:highlight w:val="none"/>
              </w:rPr>
            </w:pPr>
          </w:p>
        </w:tc>
        <w:tc>
          <w:tcPr>
            <w:tcW w:w="852" w:type="dxa"/>
            <w:vAlign w:val="center"/>
          </w:tcPr>
          <w:p>
            <w:pPr>
              <w:spacing w:line="400" w:lineRule="exact"/>
              <w:jc w:val="center"/>
              <w:rPr>
                <w:rFonts w:hint="eastAsia" w:ascii="仿宋" w:hAnsi="仿宋" w:eastAsia="仿宋" w:cs="仿宋"/>
                <w:bCs/>
                <w:color w:val="auto"/>
                <w:sz w:val="24"/>
                <w:highlight w:val="none"/>
              </w:rPr>
            </w:pPr>
          </w:p>
        </w:tc>
      </w:tr>
    </w:tbl>
    <w:p>
      <w:pPr>
        <w:spacing w:line="400" w:lineRule="exact"/>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以上表格格式行可增减。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2.证明材料详见综合评分明细表。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keepNext w:val="0"/>
        <w:keepLines w:val="0"/>
        <w:pageBreakBefore/>
        <w:widowControl w:val="0"/>
        <w:kinsoku/>
        <w:wordWrap/>
        <w:overflowPunct/>
        <w:topLinePunct w:val="0"/>
        <w:autoSpaceDE/>
        <w:autoSpaceDN/>
        <w:bidi w:val="0"/>
        <w:adjustRightInd/>
        <w:snapToGrid/>
        <w:spacing w:line="480" w:lineRule="exact"/>
        <w:ind w:firstLine="141" w:firstLineChars="50"/>
        <w:jc w:val="center"/>
        <w:textAlignment w:val="auto"/>
        <w:outlineLvl w:val="9"/>
        <w:rPr>
          <w:rFonts w:hint="eastAsia" w:ascii="仿宋" w:hAnsi="仿宋" w:eastAsia="仿宋" w:cs="仿宋"/>
          <w:b/>
          <w:bCs/>
          <w:color w:val="auto"/>
          <w:sz w:val="28"/>
          <w:szCs w:val="28"/>
          <w:highlight w:val="none"/>
        </w:rPr>
      </w:pPr>
      <w:bookmarkStart w:id="86" w:name="_Toc21122"/>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、知识产权承诺函</w:t>
      </w:r>
      <w:bookmarkEnd w:id="8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（代理机构名称）</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我公司现就采购文件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第二章磋商须知二、</w:t>
      </w:r>
      <w:r>
        <w:rPr>
          <w:rFonts w:hint="eastAsia" w:ascii="仿宋" w:hAnsi="仿宋" w:eastAsia="仿宋" w:cs="仿宋"/>
          <w:color w:val="auto"/>
          <w:sz w:val="24"/>
          <w:szCs w:val="24"/>
          <w:highlight w:val="none"/>
        </w:rPr>
        <w:t>总则</w:t>
      </w:r>
      <w:r>
        <w:rPr>
          <w:rFonts w:hint="eastAsia" w:ascii="仿宋" w:hAnsi="仿宋" w:eastAsia="仿宋" w:cs="仿宋"/>
          <w:color w:val="auto"/>
          <w:sz w:val="24"/>
          <w:szCs w:val="24"/>
          <w:highlight w:val="none"/>
          <w:lang w:val="en-US" w:eastAsia="zh-CN"/>
        </w:rPr>
        <w:t>第9条</w:t>
      </w:r>
      <w:r>
        <w:rPr>
          <w:rFonts w:hint="eastAsia" w:ascii="仿宋" w:hAnsi="仿宋" w:eastAsia="仿宋" w:cs="仿宋"/>
          <w:color w:val="auto"/>
          <w:sz w:val="24"/>
          <w:szCs w:val="24"/>
          <w:highlight w:val="none"/>
        </w:rPr>
        <w:t>知识产权（实质性要求）”规定作出如下承诺：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2、采购人享有本项目实施过程中产生的知识成果及知识产权。</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如在项目实施过程中采用自有知识成果，我单位将在投标文件中进行声明，并提供相关知识产权证明文件。使用该知识成果后，我单位将提供开发接口和开发手册等技术文档，并承诺提供无限期技术支持，采购人享有永久使用权（含采购人委托第三方在该项目后续开发的使用权）。</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4、如采用的知识产权不是我单位所拥有的，则我单位投标报价已经包括合法获取该知识产权的相关费用。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24"/>
          <w:highlight w:val="none"/>
        </w:rPr>
        <w:t>（单位盖章）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color w:val="auto"/>
          <w:sz w:val="24"/>
          <w:szCs w:val="32"/>
          <w:highlight w:val="none"/>
        </w:rPr>
      </w:pPr>
      <w:r>
        <w:rPr>
          <w:rFonts w:hint="eastAsia" w:ascii="仿宋" w:hAnsi="仿宋" w:eastAsia="仿宋" w:cs="仿宋"/>
          <w:color w:val="auto"/>
          <w:sz w:val="24"/>
          <w:szCs w:val="24"/>
          <w:highlight w:val="none"/>
        </w:rPr>
        <w:t>法定代表人或授权代表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(签字或签章)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keepNext/>
        <w:keepLines/>
        <w:pageBreakBefore/>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、本项目的服务方案</w:t>
      </w:r>
    </w:p>
    <w:p>
      <w:pPr>
        <w:spacing w:line="400" w:lineRule="exact"/>
        <w:ind w:firstLine="105" w:firstLineChars="50"/>
        <w:rPr>
          <w:rFonts w:hint="eastAsia" w:ascii="仿宋" w:hAnsi="仿宋" w:eastAsia="仿宋" w:cs="仿宋"/>
          <w:color w:val="auto"/>
          <w:highlight w:val="none"/>
        </w:rPr>
      </w:pPr>
    </w:p>
    <w:p>
      <w:pPr>
        <w:pStyle w:val="14"/>
        <w:pBdr>
          <w:bottom w:val="none" w:color="auto" w:sz="0" w:space="0"/>
        </w:pBdr>
        <w:tabs>
          <w:tab w:val="clear" w:pos="4153"/>
          <w:tab w:val="clear" w:pos="8306"/>
        </w:tabs>
        <w:snapToGrid/>
        <w:spacing w:line="400" w:lineRule="exact"/>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pPr>
        <w:pStyle w:val="14"/>
        <w:pBdr>
          <w:bottom w:val="none" w:color="auto" w:sz="0" w:space="0"/>
        </w:pBdr>
        <w:tabs>
          <w:tab w:val="clear" w:pos="4153"/>
          <w:tab w:val="clear" w:pos="8306"/>
        </w:tabs>
        <w:snapToGrid/>
        <w:spacing w:line="400" w:lineRule="exact"/>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ind w:firstLine="480" w:firstLineChars="200"/>
        <w:rPr>
          <w:rFonts w:hint="eastAsia" w:ascii="仿宋" w:hAnsi="仿宋" w:eastAsia="仿宋" w:cs="仿宋"/>
          <w:color w:val="auto"/>
          <w:sz w:val="24"/>
          <w:szCs w:val="32"/>
          <w:highlight w:val="none"/>
        </w:rPr>
      </w:pPr>
      <w:r>
        <w:rPr>
          <w:rFonts w:hint="eastAsia" w:ascii="仿宋" w:hAnsi="仿宋" w:eastAsia="仿宋" w:cs="仿宋"/>
          <w:bCs/>
          <w:color w:val="auto"/>
          <w:sz w:val="24"/>
          <w:szCs w:val="32"/>
          <w:highlight w:val="none"/>
        </w:rPr>
        <w:t>由供应商自行编写，格式不限</w:t>
      </w:r>
      <w:r>
        <w:rPr>
          <w:rFonts w:hint="eastAsia" w:ascii="仿宋" w:hAnsi="仿宋" w:eastAsia="仿宋" w:cs="仿宋"/>
          <w:bCs/>
          <w:color w:val="auto"/>
          <w:sz w:val="24"/>
          <w:szCs w:val="32"/>
          <w:highlight w:val="none"/>
          <w:lang w:eastAsia="zh-CN"/>
        </w:rPr>
        <w:t>。</w:t>
      </w:r>
      <w:r>
        <w:rPr>
          <w:rFonts w:hint="eastAsia" w:ascii="仿宋" w:hAnsi="仿宋" w:eastAsia="仿宋" w:cs="仿宋"/>
          <w:bCs/>
          <w:color w:val="auto"/>
          <w:sz w:val="24"/>
          <w:szCs w:val="32"/>
          <w:highlight w:val="none"/>
        </w:rPr>
        <w:t>应包含但不限于：综合评分明细表涉及内容。</w:t>
      </w: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p>
    <w:p>
      <w:pPr>
        <w:spacing w:line="400" w:lineRule="exact"/>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供应商名称：</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(加盖公章)</w:t>
      </w:r>
    </w:p>
    <w:p>
      <w:pPr>
        <w:spacing w:line="400" w:lineRule="exact"/>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法定代表人或授权代表：</w:t>
      </w:r>
      <w:r>
        <w:rPr>
          <w:rFonts w:hint="eastAsia" w:ascii="仿宋" w:hAnsi="仿宋" w:eastAsia="仿宋" w:cs="仿宋"/>
          <w:color w:val="auto"/>
          <w:sz w:val="24"/>
          <w:szCs w:val="32"/>
          <w:highlight w:val="none"/>
          <w:u w:val="single"/>
        </w:rPr>
        <w:t xml:space="preserve">                   </w:t>
      </w:r>
      <w:r>
        <w:rPr>
          <w:rFonts w:hint="eastAsia" w:ascii="仿宋" w:hAnsi="仿宋" w:eastAsia="仿宋" w:cs="仿宋"/>
          <w:color w:val="auto"/>
          <w:sz w:val="24"/>
          <w:szCs w:val="32"/>
          <w:highlight w:val="none"/>
        </w:rPr>
        <w:t>(签字或签章)</w:t>
      </w:r>
    </w:p>
    <w:p>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szCs w:val="32"/>
          <w:highlight w:val="none"/>
        </w:rPr>
        <w:t>日期：</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pPr>
        <w:keepNext w:val="0"/>
        <w:keepLines w:val="0"/>
        <w:pageBreakBefore/>
        <w:widowControl w:val="0"/>
        <w:kinsoku/>
        <w:wordWrap/>
        <w:overflowPunct/>
        <w:topLinePunct w:val="0"/>
        <w:autoSpaceDE/>
        <w:autoSpaceDN/>
        <w:bidi w:val="0"/>
        <w:adjustRightInd/>
        <w:snapToGrid/>
        <w:spacing w:line="480" w:lineRule="exact"/>
        <w:ind w:firstLine="141" w:firstLineChars="50"/>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最后报价表</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一、关于最</w:t>
      </w:r>
      <w:r>
        <w:rPr>
          <w:rFonts w:hint="eastAsia" w:ascii="仿宋" w:hAnsi="仿宋" w:eastAsia="仿宋" w:cs="仿宋"/>
          <w:bCs/>
          <w:color w:val="auto"/>
          <w:sz w:val="24"/>
          <w:highlight w:val="none"/>
        </w:rPr>
        <w:t>后</w:t>
      </w:r>
      <w:r>
        <w:rPr>
          <w:rFonts w:hint="eastAsia" w:ascii="仿宋" w:hAnsi="仿宋" w:eastAsia="仿宋" w:cs="仿宋"/>
          <w:color w:val="auto"/>
          <w:sz w:val="24"/>
          <w:highlight w:val="none"/>
        </w:rPr>
        <w:t>报价表的说明：</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
          <w:color w:val="auto"/>
          <w:sz w:val="24"/>
          <w:highlight w:val="none"/>
        </w:rPr>
        <w:t>最后报价表不需要封装在响应文件中；</w:t>
      </w:r>
    </w:p>
    <w:p>
      <w:pPr>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2、最</w:t>
      </w:r>
      <w:r>
        <w:rPr>
          <w:rFonts w:hint="eastAsia" w:ascii="仿宋" w:hAnsi="仿宋" w:eastAsia="仿宋" w:cs="仿宋"/>
          <w:bCs/>
          <w:color w:val="auto"/>
          <w:sz w:val="24"/>
          <w:highlight w:val="none"/>
        </w:rPr>
        <w:t>后报价表是在通过相关评审后，向评审委员会单独密封递交的文件，需由法定代表人或授权代表签字；</w:t>
      </w:r>
    </w:p>
    <w:p>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3、最后报价表可以供应商的法定代表人或授权代表在最后报价时手工填写；</w:t>
      </w:r>
    </w:p>
    <w:p>
      <w:pPr>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4、最后报</w:t>
      </w:r>
      <w:r>
        <w:rPr>
          <w:rFonts w:hint="eastAsia" w:ascii="仿宋" w:hAnsi="仿宋" w:eastAsia="仿宋" w:cs="仿宋"/>
          <w:color w:val="auto"/>
          <w:sz w:val="24"/>
          <w:highlight w:val="none"/>
        </w:rPr>
        <w:t>价超过本项目预算的，作无效响应处理。</w:t>
      </w: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二、最后报价表格式：</w:t>
      </w:r>
    </w:p>
    <w:p>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最后报价表</w:t>
      </w:r>
    </w:p>
    <w:tbl>
      <w:tblPr>
        <w:tblStyle w:val="22"/>
        <w:tblW w:w="8064" w:type="dxa"/>
        <w:tblInd w:w="93" w:type="dxa"/>
        <w:tblLayout w:type="fixed"/>
        <w:tblCellMar>
          <w:top w:w="0" w:type="dxa"/>
          <w:left w:w="108" w:type="dxa"/>
          <w:bottom w:w="0" w:type="dxa"/>
          <w:right w:w="108" w:type="dxa"/>
        </w:tblCellMar>
      </w:tblPr>
      <w:tblGrid>
        <w:gridCol w:w="2749"/>
        <w:gridCol w:w="5315"/>
      </w:tblGrid>
      <w:tr>
        <w:trPr>
          <w:trHeight w:val="1231" w:hRule="atLeast"/>
        </w:trPr>
        <w:tc>
          <w:tcPr>
            <w:tcW w:w="27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p>
        </w:tc>
        <w:tc>
          <w:tcPr>
            <w:tcW w:w="53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乐山市工人文化宫异地重建项目概念性方案设计</w:t>
            </w:r>
          </w:p>
        </w:tc>
      </w:tr>
      <w:tr>
        <w:tblPrEx>
          <w:tblCellMar>
            <w:top w:w="0" w:type="dxa"/>
            <w:left w:w="108" w:type="dxa"/>
            <w:bottom w:w="0" w:type="dxa"/>
            <w:right w:w="108" w:type="dxa"/>
          </w:tblCellMar>
        </w:tblPrEx>
        <w:trPr>
          <w:trHeight w:val="1493" w:hRule="atLeast"/>
        </w:trPr>
        <w:tc>
          <w:tcPr>
            <w:tcW w:w="27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采购编号</w:t>
            </w:r>
          </w:p>
        </w:tc>
        <w:tc>
          <w:tcPr>
            <w:tcW w:w="53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SCMP250101号</w:t>
            </w:r>
          </w:p>
        </w:tc>
      </w:tr>
      <w:tr>
        <w:tblPrEx>
          <w:tblCellMar>
            <w:top w:w="0" w:type="dxa"/>
            <w:left w:w="108" w:type="dxa"/>
            <w:bottom w:w="0" w:type="dxa"/>
            <w:right w:w="108" w:type="dxa"/>
          </w:tblCellMar>
        </w:tblPrEx>
        <w:trPr>
          <w:trHeight w:val="1270" w:hRule="atLeast"/>
        </w:trPr>
        <w:tc>
          <w:tcPr>
            <w:tcW w:w="27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采购应答</w:t>
            </w:r>
            <w:r>
              <w:rPr>
                <w:rFonts w:hint="eastAsia" w:ascii="仿宋" w:hAnsi="仿宋" w:eastAsia="仿宋" w:cs="仿宋"/>
                <w:color w:val="auto"/>
                <w:kern w:val="0"/>
                <w:sz w:val="24"/>
                <w:highlight w:val="none"/>
                <w:lang w:val="en-US" w:eastAsia="zh-CN"/>
              </w:rPr>
              <w:t>报价</w:t>
            </w:r>
          </w:p>
        </w:tc>
        <w:tc>
          <w:tcPr>
            <w:tcW w:w="53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仿宋" w:hAnsi="仿宋" w:eastAsia="仿宋" w:cs="仿宋"/>
                <w:b/>
                <w:color w:val="auto"/>
                <w:sz w:val="24"/>
                <w:highlight w:val="none"/>
                <w:lang w:val="en-US" w:eastAsia="zh-CN"/>
              </w:rPr>
            </w:pPr>
          </w:p>
        </w:tc>
      </w:tr>
      <w:tr>
        <w:tblPrEx>
          <w:tblCellMar>
            <w:top w:w="0" w:type="dxa"/>
            <w:left w:w="108" w:type="dxa"/>
            <w:bottom w:w="0" w:type="dxa"/>
            <w:right w:w="108" w:type="dxa"/>
          </w:tblCellMar>
        </w:tblPrEx>
        <w:trPr>
          <w:trHeight w:val="1271" w:hRule="atLeast"/>
        </w:trPr>
        <w:tc>
          <w:tcPr>
            <w:tcW w:w="27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大写金额</w:t>
            </w:r>
          </w:p>
        </w:tc>
        <w:tc>
          <w:tcPr>
            <w:tcW w:w="53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 w:hAnsi="仿宋" w:eastAsia="仿宋" w:cs="仿宋"/>
                <w:b/>
                <w:color w:val="auto"/>
                <w:sz w:val="24"/>
                <w:highlight w:val="none"/>
                <w:lang w:val="en-US" w:eastAsia="zh-CN"/>
              </w:rPr>
            </w:pPr>
          </w:p>
        </w:tc>
      </w:tr>
      <w:tr>
        <w:tblPrEx>
          <w:tblCellMar>
            <w:top w:w="0" w:type="dxa"/>
            <w:left w:w="108" w:type="dxa"/>
            <w:bottom w:w="0" w:type="dxa"/>
            <w:right w:w="108" w:type="dxa"/>
          </w:tblCellMar>
        </w:tblPrEx>
        <w:trPr>
          <w:trHeight w:val="1271" w:hRule="atLeast"/>
        </w:trPr>
        <w:tc>
          <w:tcPr>
            <w:tcW w:w="27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备注</w:t>
            </w:r>
          </w:p>
        </w:tc>
        <w:tc>
          <w:tcPr>
            <w:tcW w:w="531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仿宋" w:hAnsi="仿宋" w:eastAsia="仿宋" w:cs="仿宋"/>
                <w:b/>
                <w:color w:val="auto"/>
                <w:sz w:val="24"/>
                <w:highlight w:val="none"/>
                <w:lang w:val="en-US" w:eastAsia="zh-CN"/>
              </w:rPr>
            </w:pPr>
          </w:p>
        </w:tc>
      </w:tr>
    </w:tbl>
    <w:p>
      <w:pPr>
        <w:pStyle w:val="5"/>
        <w:spacing w:line="400" w:lineRule="exact"/>
        <w:ind w:firstLine="480"/>
        <w:rPr>
          <w:rFonts w:hint="eastAsia" w:ascii="仿宋" w:hAnsi="仿宋" w:eastAsia="仿宋" w:cs="仿宋"/>
          <w:color w:val="auto"/>
          <w:sz w:val="24"/>
          <w:highlight w:val="none"/>
        </w:rPr>
      </w:pPr>
    </w:p>
    <w:p>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注：采购应答</w:t>
      </w:r>
      <w:r>
        <w:rPr>
          <w:rFonts w:hint="eastAsia" w:ascii="仿宋" w:hAnsi="仿宋" w:eastAsia="仿宋" w:cs="仿宋"/>
          <w:b/>
          <w:snapToGrid w:val="0"/>
          <w:color w:val="auto"/>
          <w:kern w:val="0"/>
          <w:sz w:val="24"/>
          <w:highlight w:val="none"/>
          <w:lang w:val="en-US" w:eastAsia="zh-CN"/>
        </w:rPr>
        <w:t>报价</w:t>
      </w:r>
      <w:r>
        <w:rPr>
          <w:rFonts w:hint="eastAsia" w:ascii="仿宋" w:hAnsi="仿宋" w:eastAsia="仿宋" w:cs="仿宋"/>
          <w:b/>
          <w:snapToGrid w:val="0"/>
          <w:color w:val="auto"/>
          <w:kern w:val="0"/>
          <w:sz w:val="24"/>
          <w:highlight w:val="none"/>
        </w:rPr>
        <w:t>包括</w:t>
      </w:r>
      <w:r>
        <w:rPr>
          <w:rFonts w:hint="eastAsia" w:ascii="仿宋" w:hAnsi="仿宋" w:eastAsia="仿宋" w:cs="仿宋"/>
          <w:b/>
          <w:color w:val="auto"/>
          <w:sz w:val="24"/>
          <w:highlight w:val="none"/>
        </w:rPr>
        <w:t>供应商完成本项目所需的一切费用。</w:t>
      </w:r>
    </w:p>
    <w:p>
      <w:pPr>
        <w:pStyle w:val="31"/>
        <w:rPr>
          <w:rFonts w:hint="eastAsia" w:ascii="仿宋" w:hAnsi="仿宋" w:eastAsia="仿宋" w:cs="仿宋"/>
          <w:color w:val="auto"/>
          <w:highlight w:val="none"/>
        </w:rPr>
      </w:pPr>
      <w:r>
        <w:rPr>
          <w:rFonts w:hint="eastAsia" w:ascii="仿宋" w:hAnsi="仿宋" w:eastAsia="仿宋" w:cs="仿宋"/>
          <w:b/>
          <w:snapToGrid w:val="0"/>
          <w:color w:val="auto"/>
          <w:szCs w:val="24"/>
          <w:highlight w:val="none"/>
        </w:rPr>
        <w:t xml:space="preserve"> </w:t>
      </w: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 xml:space="preserve">               </w:t>
      </w:r>
    </w:p>
    <w:p>
      <w:pPr>
        <w:pStyle w:val="5"/>
        <w:spacing w:line="40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pStyle w:val="5"/>
        <w:spacing w:line="400" w:lineRule="exact"/>
        <w:ind w:firstLineChars="175"/>
        <w:rPr>
          <w:rFonts w:hint="eastAsia" w:ascii="仿宋" w:hAnsi="仿宋" w:eastAsia="仿宋" w:cs="仿宋"/>
          <w:color w:val="auto"/>
          <w:sz w:val="24"/>
          <w:highlight w:val="none"/>
          <w:u w:val="single"/>
        </w:rPr>
      </w:pPr>
    </w:p>
    <w:p>
      <w:pPr>
        <w:spacing w:line="520" w:lineRule="exact"/>
        <w:jc w:val="center"/>
        <w:rPr>
          <w:rFonts w:hint="eastAsia" w:ascii="仿宋" w:hAnsi="仿宋" w:eastAsia="仿宋" w:cs="仿宋"/>
          <w:color w:val="auto"/>
          <w:highlight w:val="none"/>
        </w:rPr>
      </w:pPr>
      <w:bookmarkStart w:id="87" w:name="_Toc16785"/>
      <w:r>
        <w:rPr>
          <w:rFonts w:hint="eastAsia" w:ascii="仿宋" w:hAnsi="仿宋" w:eastAsia="仿宋" w:cs="仿宋"/>
          <w:bCs w:val="0"/>
          <w:color w:val="auto"/>
          <w:sz w:val="32"/>
          <w:szCs w:val="32"/>
          <w:highlight w:val="none"/>
        </w:rPr>
        <w:br w:type="page"/>
      </w:r>
      <w:bookmarkStart w:id="88" w:name="_Toc20377"/>
      <w:r>
        <w:rPr>
          <w:rFonts w:hint="eastAsia" w:ascii="仿宋" w:hAnsi="仿宋" w:eastAsia="仿宋" w:cs="仿宋"/>
          <w:color w:val="auto"/>
          <w:sz w:val="32"/>
          <w:szCs w:val="32"/>
          <w:highlight w:val="none"/>
        </w:rPr>
        <w:t>第八章  评审方法</w:t>
      </w:r>
      <w:bookmarkEnd w:id="87"/>
      <w:bookmarkEnd w:id="88"/>
      <w:bookmarkStart w:id="89" w:name="_Toc101338358"/>
      <w:bookmarkStart w:id="90" w:name="_Toc101174146"/>
      <w:bookmarkStart w:id="91" w:name="_Toc101250640"/>
      <w:bookmarkStart w:id="92" w:name="_Toc209847065"/>
      <w:bookmarkStart w:id="93" w:name="_Toc430773924"/>
    </w:p>
    <w:p>
      <w:pPr>
        <w:pStyle w:val="3"/>
        <w:keepNext w:val="0"/>
        <w:keepLines w:val="0"/>
        <w:spacing w:before="0" w:after="0" w:line="400" w:lineRule="atLeast"/>
        <w:ind w:firstLine="472"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1.总则</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1.1 </w:t>
      </w:r>
      <w:r>
        <w:rPr>
          <w:rFonts w:hint="eastAsia" w:ascii="仿宋" w:hAnsi="仿宋" w:eastAsia="仿宋" w:cs="仿宋"/>
          <w:b w:val="0"/>
          <w:color w:val="auto"/>
          <w:sz w:val="24"/>
          <w:szCs w:val="24"/>
          <w:highlight w:val="none"/>
          <w:lang w:val="en-US" w:eastAsia="zh-CN"/>
        </w:rPr>
        <w:t>参照</w:t>
      </w:r>
      <w:r>
        <w:rPr>
          <w:rFonts w:hint="eastAsia" w:ascii="仿宋" w:hAnsi="仿宋" w:eastAsia="仿宋" w:cs="仿宋"/>
          <w:b w:val="0"/>
          <w:color w:val="auto"/>
          <w:sz w:val="24"/>
          <w:szCs w:val="24"/>
          <w:highlight w:val="none"/>
        </w:rPr>
        <w:t>《中华人民共和国政府采购法》、《中华人民共和国政府采购法实施条例》、《政府采购竞争性磋商采购方式管理暂行办法》等法律制度，结合本采购项目特点制定本磋商方法。</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1.2 磋商工作由采购代理机构负责组织，具体磋商由采购代理机构依法组建的磋商小组负责。</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1.3 磋商工作应遵循公平、公正、科学及择优的原则，并以相同的磋商程序和标准对待所有的供应商。</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1.4 磋商小组按照磋商文件规定的磋商程序、评分方法和标准进行评审，并独立履行下列职责：</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（一）熟悉和理解磋商文件，确定磋商文件内容是否违反国家有关强制性规定或者磋商文件存在歧义、重大缺陷，根据需要书面要求采购人、采购代理机构对磋商文件作出解释；</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（二）审查供应商响应文件是否满足磋商文件要求，并作出公正评价；</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（三）根据需要要求供应商对响应文件中含义不明确、同类问题表述不一致或者有明显文字和计算错误的内容等作出必要的澄清、说明或者更正；</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（四）推荐成交供应商，或者受采购人委托确定成交供应商；</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（五）起草评审报告并进行签署；</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（六）向采购人/采购代理机构、财政部门或者其他监督部门报告非法干预评审工作的行为；</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（七）法律、法规和规章规定的其他职责。</w:t>
      </w:r>
    </w:p>
    <w:p>
      <w:pPr>
        <w:pStyle w:val="3"/>
        <w:keepNext w:val="0"/>
        <w:keepLines w:val="0"/>
        <w:spacing w:before="0" w:after="0" w:line="400" w:lineRule="atLeast"/>
        <w:ind w:firstLine="470" w:firstLineChars="196"/>
        <w:rPr>
          <w:rFonts w:hint="eastAsia" w:ascii="仿宋" w:hAnsi="仿宋" w:eastAsia="仿宋" w:cs="仿宋"/>
          <w:color w:val="auto"/>
          <w:highlight w:val="none"/>
        </w:rPr>
      </w:pPr>
      <w:r>
        <w:rPr>
          <w:rFonts w:hint="eastAsia" w:ascii="仿宋" w:hAnsi="仿宋" w:eastAsia="仿宋" w:cs="仿宋"/>
          <w:b w:val="0"/>
          <w:color w:val="auto"/>
          <w:sz w:val="24"/>
          <w:szCs w:val="24"/>
          <w:highlight w:val="none"/>
        </w:rPr>
        <w:t>1.5 磋商过程独立、保密。供应商非法干预磋商过程的，其响应文件作无效处理。</w:t>
      </w:r>
      <w:r>
        <w:rPr>
          <w:rFonts w:hint="eastAsia" w:ascii="仿宋" w:hAnsi="仿宋" w:eastAsia="仿宋" w:cs="仿宋"/>
          <w:color w:val="auto"/>
          <w:sz w:val="24"/>
          <w:szCs w:val="24"/>
          <w:highlight w:val="none"/>
        </w:rPr>
        <w:t>（实质性要求）</w:t>
      </w:r>
    </w:p>
    <w:p>
      <w:pPr>
        <w:pStyle w:val="3"/>
        <w:keepNext w:val="0"/>
        <w:keepLines w:val="0"/>
        <w:spacing w:before="0" w:after="0" w:line="400" w:lineRule="atLeast"/>
        <w:ind w:firstLine="472"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2.磋商程序</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2.1审查磋商文件和停止评审。</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2.1.1 磋商小组正式评审前，应当对磋商文件进行熟悉和理解，内容主要包括磋商文件中供应商资格条件要求、采购项目技术、服务和商务要求、磋商办法和标准、采购政策要求以及采购合同主要条款等。</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2.1.2 本磋商文件有下列情形之一的，磋商小组应当停止评审：</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（1）磋商文件的规定存在歧义、重大缺陷的；</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（2）磋商文件明显以不合理条件对供应商实行差别待遇或者歧视待遇的；</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（3）采购项目属于国家规定的优先、强制采购范围，但是磋商文件未依法体现优先、强制采购相关规定的；</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（4）磋商文件将供应商的资格条件列为评分因素的；</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（5）磋商文件载明的成交原则不合法的；</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（6）磋商文件有违反国家其他有关强制性规定的情形。</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2.1.3 出现本条2.1.2规定应当停止评审情形的，磋商小组应当向采购人书面说明情况。除本条规定的情形外，磋商小组不得以任何方式和理由停止评审。</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2.2资格性审查。</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2.2.1本项目需要磋商小组进行资格性检查。</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2.2.2资格性审查结束后，磋商小组应当出具资格性审查报告，没有通过资格审查的供应商，磋商小组应当在资格审查报告中说明原因。</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2.2.3磋商小组应依据磋商文件规定的实质性要求，对符合资格的响应文件进行有效性、完整性和响应程度审查，以确定参加磋商的供应商名单。</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2.2.4采购人或者采购代理机构宣布未通过资格性审查的供应商名单时，应当告知供应商未通过审查的原因。</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 通过资格性审查的供应商不足</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rPr>
        <w:t>家的，终止本次采购活动，并发布终止采购活动公告。</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2.4磋商。</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2.4.2每轮磋商开始前，磋商小组应根据磋商文件的规定，并结合各供应商的响应文件拟定磋商内容。</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2.4.4对磋商文件作出的实质性变动是磋商文件的有效组成部分，磋商小组应当及时以书面形式同时通知所有参加磋商的供应商。</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2.4.6磋商过程中，磋商的任何一方不得透露与磋商有关的其他供应商的技术资料、价格和其他信息。</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2.4.7磋商过程中，磋商小组发现或者知晓供应商存在违法、违纪行为的，磋商小组应当将该供应商响应文件作无效处理，不允许其提交最后报价。</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2.4.8磋商完成后，磋商小组应出具磋商情况记录表，磋商情况记录表需包含磋商内容、磋商意见、实质性变动内容等。   </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2.5最后报价。</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2.5.1磋商文件能够详细列明采购标的的技术、服务要求的，磋商结束后，磋商小组应当要求所有实质性响应的供应商在规定时间内提交最后报价，提交最后报价的供应商不得少于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家。或磋商文件不能详细列明采购标的的技术、服务要求，需经磋商由供应商提供最终设计方案或解决方案的，磋商结束后，磋商小组应当按照少数服从多数的原则投票推荐</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家以上供应商的设计方案或者解决方案，并要求其在规定时间内提交最后报价。</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2.5.3供应商最后报价应当由法定代表人或其授权代表签字确认或加盖公章。最后报价是供应商响应文件的有效组成部分。</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2.6比较与评价。由磋商小组采用综合评分法对提交最后报价的供应商的响应文件和最后报价进行综合评分，具体要求详见本章综合评分部分。</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2.7推荐成交候选供应商。磋商小组应当根据综合评分情况，按照评审得分由高到低顺序推荐</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2.8磋商小组复核。磋商小组评分汇总结束后，磋商小组应当进行评审复核，对拟推荐为成交候选供应商的、报价最低的、供应商资格审查未通过的、供应商响应文件作无效处理的重点复核。</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2.9采购组织单位现场复核评审结果。</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（1）资格性审查认定错误的；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（2）分值汇总计算错误的；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（3）分项评分超出评分标准范围的；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（4）客观评分不一致的。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采购代理机构复核过程中，磋商小组成员不得离开评审现场。</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2.9.2有下列情形之一的，不得现场修改评审结果：</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（1）磋商小组已经出具磋商报告并且离开评审现场的；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（2）采购代理机构现场复核时，复核工作人员数量不足的；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（3）采购代理机构现场复核时，没有采购监督人员现场监督的；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（4）采购代理机构现场复核内容超出规定范围的；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（5）采购代理机构未提供书面建议的。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2.10编写磋商报告。 磋商小组推荐成交候选供应商后，应向采购代理机构出具磋商报告。磋商报告应当包括以下主要内容：</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（1）邀请供应商参加采购活动的具体方式和相关情况；</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（2）响应文件开启日期和地点；</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（3）获取磋商文件的供应商名单和磋商小组成员名单；</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（4）评审情况记录和说明，包括对供应商的资格审查情-况、供应商响应文件审查情况、磋商情况、报价情况等；</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（5）提出的成交候选供应商的排序名单及理由。</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2.12供应商澄清、说明</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2.12.2磋商小组要求供应商澄清、说明或者更正响应文件应当以书面形式作出。供应商的澄清、说明或者更正应当由法定代表人或其授权代表签字或者加盖公章。</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2.13终止磋商采购活动。</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出现下列情形之一的，采购人或者采购代理机构应当终止竞争性磋商采购活动，发布项目终止公告并说明原因，重新开展采购活动：</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（1）因情况变化，不再符合规定的竞争性磋商采购方式适用情形的；</w:t>
      </w:r>
    </w:p>
    <w:p>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pPr>
        <w:spacing w:line="400" w:lineRule="atLeas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（3）在采购过程中符合要求的供应商或者报价未超过采购预算的供应商不足</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家的。</w:t>
      </w:r>
    </w:p>
    <w:p>
      <w:pPr>
        <w:spacing w:line="400" w:lineRule="atLeas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3.综合评分</w:t>
      </w:r>
    </w:p>
    <w:p>
      <w:pPr>
        <w:keepNext w:val="0"/>
        <w:keepLines w:val="0"/>
        <w:pageBreakBefore w:val="0"/>
        <w:widowControl/>
        <w:kinsoku/>
        <w:wordWrap/>
        <w:overflowPunct/>
        <w:topLinePunct w:val="0"/>
        <w:autoSpaceDE/>
        <w:autoSpaceDN/>
        <w:bidi w:val="0"/>
        <w:adjustRightInd/>
        <w:snapToGrid/>
        <w:spacing w:line="440" w:lineRule="atLeast"/>
        <w:ind w:left="0" w:leftChars="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3.1本次综合评分的因素是：报价、</w:t>
      </w:r>
      <w:r>
        <w:rPr>
          <w:rFonts w:hint="eastAsia" w:ascii="仿宋" w:hAnsi="仿宋" w:eastAsia="仿宋" w:cs="仿宋"/>
          <w:color w:val="auto"/>
          <w:sz w:val="24"/>
          <w:highlight w:val="none"/>
          <w:lang w:val="en-US" w:eastAsia="zh-CN"/>
        </w:rPr>
        <w:t>勘察方案、</w:t>
      </w:r>
      <w:r>
        <w:rPr>
          <w:rFonts w:hint="eastAsia" w:ascii="仿宋" w:hAnsi="仿宋" w:eastAsia="仿宋" w:cs="仿宋"/>
          <w:color w:val="auto"/>
          <w:kern w:val="2"/>
          <w:sz w:val="24"/>
          <w:szCs w:val="24"/>
          <w:highlight w:val="none"/>
          <w:lang w:val="en-US" w:eastAsia="zh-CN" w:bidi="ar-SA"/>
        </w:rPr>
        <w:t>后续服务方案</w:t>
      </w:r>
      <w:r>
        <w:rPr>
          <w:rFonts w:hint="eastAsia" w:ascii="仿宋" w:hAnsi="仿宋" w:eastAsia="仿宋" w:cs="仿宋"/>
          <w:color w:val="auto"/>
          <w:sz w:val="24"/>
          <w:highlight w:val="none"/>
        </w:rPr>
        <w:t>、</w:t>
      </w:r>
      <w:r>
        <w:rPr>
          <w:rFonts w:hint="eastAsia" w:ascii="仿宋" w:hAnsi="仿宋" w:eastAsia="仿宋" w:cs="仿宋"/>
          <w:color w:val="auto"/>
          <w:kern w:val="2"/>
          <w:sz w:val="24"/>
          <w:szCs w:val="24"/>
          <w:highlight w:val="none"/>
          <w:lang w:val="en-US" w:eastAsia="zh-CN" w:bidi="ar-SA"/>
        </w:rPr>
        <w:t>服务团队人员</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履约经验</w:t>
      </w:r>
      <w:r>
        <w:rPr>
          <w:rFonts w:hint="eastAsia" w:ascii="仿宋" w:hAnsi="仿宋" w:eastAsia="仿宋" w:cs="仿宋"/>
          <w:color w:val="auto"/>
          <w:sz w:val="24"/>
          <w:highlight w:val="none"/>
        </w:rPr>
        <w:t>等。</w:t>
      </w:r>
    </w:p>
    <w:p>
      <w:pPr>
        <w:pStyle w:val="9"/>
        <w:tabs>
          <w:tab w:val="left" w:pos="600"/>
        </w:tabs>
        <w:spacing w:line="4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3.2综合评分明细表</w:t>
      </w:r>
    </w:p>
    <w:p>
      <w:pPr>
        <w:pStyle w:val="9"/>
        <w:tabs>
          <w:tab w:val="left" w:pos="600"/>
        </w:tabs>
        <w:spacing w:line="4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3.2.1综合评分明细表的制定以科学合理、降低评委会自由裁量权为原则。</w:t>
      </w:r>
    </w:p>
    <w:p>
      <w:pPr>
        <w:pStyle w:val="3"/>
        <w:keepNext w:val="0"/>
        <w:keepLines w:val="0"/>
        <w:spacing w:before="0" w:after="0" w:line="400" w:lineRule="atLeast"/>
        <w:ind w:firstLine="470" w:firstLineChars="196"/>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3.2.2综合评分明细表</w:t>
      </w:r>
      <w:r>
        <w:rPr>
          <w:rFonts w:hint="eastAsia" w:ascii="仿宋" w:hAnsi="仿宋" w:eastAsia="仿宋" w:cs="仿宋"/>
          <w:b w:val="0"/>
          <w:color w:val="auto"/>
          <w:sz w:val="24"/>
          <w:szCs w:val="24"/>
          <w:highlight w:val="none"/>
          <w:lang w:eastAsia="zh-CN"/>
        </w:rPr>
        <w:t>：</w:t>
      </w:r>
    </w:p>
    <w:bookmarkEnd w:id="89"/>
    <w:bookmarkEnd w:id="90"/>
    <w:bookmarkEnd w:id="91"/>
    <w:bookmarkEnd w:id="92"/>
    <w:tbl>
      <w:tblPr>
        <w:tblStyle w:val="22"/>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043"/>
        <w:gridCol w:w="835"/>
        <w:gridCol w:w="486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2043" w:type="dxa"/>
            <w:noWrap w:val="0"/>
            <w:vAlign w:val="center"/>
          </w:tcPr>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评分因素</w:t>
            </w:r>
          </w:p>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及权重</w:t>
            </w:r>
          </w:p>
        </w:tc>
        <w:tc>
          <w:tcPr>
            <w:tcW w:w="835" w:type="dxa"/>
            <w:noWrap w:val="0"/>
            <w:vAlign w:val="center"/>
          </w:tcPr>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分值</w:t>
            </w:r>
          </w:p>
        </w:tc>
        <w:tc>
          <w:tcPr>
            <w:tcW w:w="4863" w:type="dxa"/>
            <w:noWrap w:val="0"/>
            <w:vAlign w:val="center"/>
          </w:tcPr>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评分标准</w:t>
            </w:r>
          </w:p>
        </w:tc>
        <w:tc>
          <w:tcPr>
            <w:tcW w:w="1250" w:type="dxa"/>
            <w:noWrap w:val="0"/>
            <w:vAlign w:val="center"/>
          </w:tcPr>
          <w:p>
            <w:pPr>
              <w:keepNext w:val="0"/>
              <w:keepLines w:val="0"/>
              <w:pageBreakBefore w:val="0"/>
              <w:kinsoku/>
              <w:wordWrap w:val="0"/>
              <w:overflowPunct/>
              <w:autoSpaceDE/>
              <w:autoSpaceDN/>
              <w:bidi w:val="0"/>
              <w:spacing w:line="4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2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评分因素</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及权重</w:t>
            </w:r>
          </w:p>
        </w:tc>
        <w:tc>
          <w:tcPr>
            <w:tcW w:w="83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分值</w:t>
            </w:r>
          </w:p>
        </w:tc>
        <w:tc>
          <w:tcPr>
            <w:tcW w:w="4863"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评分标准</w:t>
            </w:r>
          </w:p>
        </w:tc>
        <w:tc>
          <w:tcPr>
            <w:tcW w:w="1250"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报价10%</w:t>
            </w:r>
          </w:p>
        </w:tc>
        <w:tc>
          <w:tcPr>
            <w:tcW w:w="835"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86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满足比选文件要求且报价最低的供应商的价格为比选基准价，其价格分为满分。其他供应商的价格分统一按照下列公式计算：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比选报价得分=(比选基准价/比选报价)</w:t>
            </w:r>
            <w:r>
              <w:rPr>
                <w:rFonts w:hint="default"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r>
              <w:rPr>
                <w:rFonts w:hint="default"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lang w:eastAsia="zh-CN"/>
              </w:rPr>
              <w:t>100%</w:t>
            </w:r>
          </w:p>
        </w:tc>
        <w:tc>
          <w:tcPr>
            <w:tcW w:w="1250"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2</w:t>
            </w:r>
          </w:p>
        </w:tc>
        <w:tc>
          <w:tcPr>
            <w:tcW w:w="204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设计大纲35%</w:t>
            </w:r>
          </w:p>
        </w:tc>
        <w:tc>
          <w:tcPr>
            <w:tcW w:w="8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4863" w:type="dxa"/>
            <w:noWrap w:val="0"/>
            <w:tcMar>
              <w:top w:w="15" w:type="dxa"/>
              <w:left w:w="15" w:type="dxa"/>
              <w:right w:w="15" w:type="dxa"/>
            </w:tcMar>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针对本项目实际情况拟定的</w:t>
            </w:r>
            <w:r>
              <w:rPr>
                <w:rFonts w:hint="eastAsia" w:ascii="宋体" w:hAnsi="宋体" w:eastAsia="宋体" w:cs="宋体"/>
                <w:color w:val="auto"/>
                <w:sz w:val="21"/>
                <w:szCs w:val="21"/>
                <w:highlight w:val="none"/>
                <w:lang w:val="en-US" w:eastAsia="zh-CN"/>
              </w:rPr>
              <w:t>设计大纲</w:t>
            </w:r>
            <w:r>
              <w:rPr>
                <w:rFonts w:hint="eastAsia" w:ascii="宋体" w:hAnsi="宋体" w:eastAsia="宋体" w:cs="宋体"/>
                <w:color w:val="auto"/>
                <w:sz w:val="21"/>
                <w:szCs w:val="21"/>
                <w:highlight w:val="none"/>
              </w:rPr>
              <w:t>，包含但不限于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设计范围和内容；（2）对项目认识及构思；（3）设计工作重点、难点分析；（4）设计进度计划及保障措施；（5）设计质量计划及保证措施；（6）设计方案服务措施；（7）人员组成结构及岗位职责等内容，完整且切合项目实际的得</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分，每缺少一项内容扣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分，每有一处内容存在不足扣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分，扣完为止。</w:t>
            </w:r>
          </w:p>
          <w:p>
            <w:pPr>
              <w:keepNext w:val="0"/>
              <w:keepLines w:val="0"/>
              <w:pageBreakBefore w:val="0"/>
              <w:shd w:val="clear" w:color="auto" w:fill="auto"/>
              <w:kinsoku/>
              <w:wordWrap/>
              <w:overflowPunct/>
              <w:topLinePunct w:val="0"/>
              <w:autoSpaceDE/>
              <w:autoSpaceDN/>
              <w:bidi w:val="0"/>
              <w:adjustRightInd w:val="0"/>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内容存在不足是指项目名称不符、方案内容与项目需求不一致、涉及的技术规范标准等与国家或行业或采购文件要求不一致，方案内容存在凭空想象与编造、内容与实际实施存在差异性，语义表述不清，存在歧义、混乱，内容不充实完善，提供设计大纲不满足项目实际需求等）</w:t>
            </w:r>
          </w:p>
        </w:tc>
        <w:tc>
          <w:tcPr>
            <w:tcW w:w="1250" w:type="dxa"/>
            <w:noWrap/>
            <w:tcMar>
              <w:top w:w="15" w:type="dxa"/>
              <w:left w:w="15" w:type="dxa"/>
              <w:right w:w="15" w:type="dxa"/>
            </w:tcMar>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技术类</w:t>
            </w:r>
            <w:r>
              <w:rPr>
                <w:rFonts w:hint="eastAsia" w:ascii="宋体" w:hAnsi="宋体" w:eastAsia="宋体" w:cs="宋体"/>
                <w:color w:val="auto"/>
                <w:sz w:val="21"/>
                <w:szCs w:val="21"/>
                <w:highlight w:val="none"/>
                <w:lang w:eastAsia="zh-CN"/>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2043" w:type="dxa"/>
            <w:noWrap w:val="0"/>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后续服务 方案18%</w:t>
            </w:r>
          </w:p>
        </w:tc>
        <w:tc>
          <w:tcPr>
            <w:tcW w:w="835" w:type="dxa"/>
            <w:noWrap/>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p>
        </w:tc>
        <w:tc>
          <w:tcPr>
            <w:tcW w:w="4863" w:type="dxa"/>
            <w:noWrap w:val="0"/>
            <w:tcMar>
              <w:top w:w="15" w:type="dxa"/>
              <w:left w:w="15" w:type="dxa"/>
              <w:right w:w="15" w:type="dxa"/>
            </w:tcMar>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供应商针对本项目</w:t>
            </w:r>
            <w:r>
              <w:rPr>
                <w:rFonts w:hint="eastAsia" w:ascii="宋体" w:hAnsi="宋体" w:eastAsia="宋体" w:cs="宋体"/>
                <w:color w:val="auto"/>
                <w:sz w:val="21"/>
                <w:szCs w:val="21"/>
                <w:highlight w:val="none"/>
              </w:rPr>
              <w:t>拟定的</w:t>
            </w:r>
            <w:r>
              <w:rPr>
                <w:rFonts w:hint="eastAsia" w:ascii="宋体" w:hAnsi="宋体" w:eastAsia="宋体" w:cs="宋体"/>
                <w:color w:val="auto"/>
                <w:kern w:val="2"/>
                <w:sz w:val="21"/>
                <w:szCs w:val="21"/>
                <w:highlight w:val="none"/>
                <w:lang w:val="en-US" w:eastAsia="zh-CN" w:bidi="ar-SA"/>
              </w:rPr>
              <w:t>后续服务工作安排及承诺，包含但不限于以下内容：①后续服务保障体系；②后续服务保障措施；③后续工作安排；④后续服务主要流程；⑤公司服务管理制度；⑥设计服务协调与不间断响应服务时间</w:t>
            </w:r>
            <w:r>
              <w:rPr>
                <w:rFonts w:hint="eastAsia" w:ascii="宋体" w:hAnsi="宋体" w:eastAsia="宋体" w:cs="宋体"/>
                <w:color w:val="auto"/>
                <w:sz w:val="21"/>
                <w:szCs w:val="21"/>
                <w:highlight w:val="none"/>
                <w:lang w:eastAsia="zh-CN"/>
              </w:rPr>
              <w:t>，完整且切合项目实际的得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分，每缺少一项内容扣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分，每有一处内容存在不足扣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分，扣完为止。</w:t>
            </w:r>
          </w:p>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内容存在不足是指项目名称不符、方案内容与项目需求不一致、涉及的技术规范标准等与国家或行业或采购文件要求不一致，方案内容存在凭空想象与编造、内容与实际实施存在差异性，语义表述不清，存在歧义、混乱，内容不充实完善，提供方案不满足项目实际需求等）</w:t>
            </w:r>
          </w:p>
        </w:tc>
        <w:tc>
          <w:tcPr>
            <w:tcW w:w="1250"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技术类</w:t>
            </w:r>
            <w:r>
              <w:rPr>
                <w:rFonts w:hint="eastAsia" w:ascii="宋体" w:hAnsi="宋体" w:eastAsia="宋体" w:cs="宋体"/>
                <w:color w:val="auto"/>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2043" w:type="dxa"/>
            <w:noWrap w:val="0"/>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服务团队25%</w:t>
            </w:r>
          </w:p>
        </w:tc>
        <w:tc>
          <w:tcPr>
            <w:tcW w:w="835" w:type="dxa"/>
            <w:noWrap/>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4863" w:type="dxa"/>
            <w:noWrap w:val="0"/>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1.项目负责人（1人）：具有二级注册建筑师资格得3分，一级注册建筑师资格得5分；建筑工程类中级及以上职称加3分，本项最多得8分。</w:t>
            </w:r>
          </w:p>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2.技术负责人（1人）：具有建筑工程类中级职称得3分，建筑工程类高级职称得5分；本项最多得5分。</w:t>
            </w:r>
          </w:p>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3.项目组成员：每配有一名建筑工程类专业中级及以上职称得3分。本项最多得12分。</w:t>
            </w:r>
          </w:p>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注：①上述人员不能重复且提供在职证明。②上述职称应附职称证书复印件，职称和职称专业以职称证为准，注册类人员资格须提供四川省建筑市场监管公共服务平台官网截图证明，否则视为无效。</w:t>
            </w:r>
          </w:p>
        </w:tc>
        <w:tc>
          <w:tcPr>
            <w:tcW w:w="1250"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511"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2043" w:type="dxa"/>
            <w:noWrap w:val="0"/>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业绩12%</w:t>
            </w:r>
          </w:p>
        </w:tc>
        <w:tc>
          <w:tcPr>
            <w:tcW w:w="835" w:type="dxa"/>
            <w:noWrap/>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4863" w:type="dxa"/>
            <w:noWrap w:val="0"/>
            <w:tcMar>
              <w:top w:w="15" w:type="dxa"/>
              <w:left w:w="15" w:type="dxa"/>
              <w:right w:w="15" w:type="dxa"/>
            </w:tcMar>
            <w:vAlign w:val="center"/>
          </w:tcPr>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供应商自2021年1月1日以来具有1个类似项目业绩的得4分。本项最多得12分。</w:t>
            </w:r>
          </w:p>
          <w:p>
            <w:pPr>
              <w:pStyle w:val="9"/>
              <w:keepNext w:val="0"/>
              <w:keepLines w:val="0"/>
              <w:pageBreakBefore w:val="0"/>
              <w:shd w:val="clear" w:color="auto" w:fill="auto"/>
              <w:tabs>
                <w:tab w:val="left" w:pos="600"/>
              </w:tabs>
              <w:kinsoku/>
              <w:wordWrap/>
              <w:overflowPunct/>
              <w:topLinePunct w:val="0"/>
              <w:autoSpaceDE/>
              <w:autoSpaceDN/>
              <w:bidi w:val="0"/>
              <w:adjustRightInd w:val="0"/>
              <w:snapToGrid w:val="0"/>
              <w:spacing w:line="400" w:lineRule="exact"/>
              <w:ind w:left="0" w:leftChars="0" w:firstLine="0" w:firstLineChars="0"/>
              <w:rPr>
                <w:rFonts w:hint="default" w:ascii="宋体" w:hAnsi="宋体" w:eastAsia="宋体" w:cs="宋体"/>
                <w:color w:val="auto"/>
                <w:sz w:val="21"/>
                <w:szCs w:val="21"/>
                <w:highlight w:val="yellow"/>
                <w:lang w:val="en-US" w:eastAsia="zh-CN"/>
              </w:rPr>
            </w:pPr>
            <w:r>
              <w:rPr>
                <w:rFonts w:hint="eastAsia" w:ascii="宋体" w:hAnsi="宋体" w:eastAsia="宋体" w:cs="宋体"/>
                <w:color w:val="auto"/>
                <w:kern w:val="2"/>
                <w:sz w:val="21"/>
                <w:szCs w:val="21"/>
                <w:highlight w:val="none"/>
                <w:lang w:val="en-US" w:eastAsia="zh-CN" w:bidi="ar-SA"/>
              </w:rPr>
              <w:t xml:space="preserve"> 注：以上业绩需提供合同或中标（成交）通知书复印件。</w:t>
            </w:r>
          </w:p>
        </w:tc>
        <w:tc>
          <w:tcPr>
            <w:tcW w:w="1250" w:type="dxa"/>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共同评分因素</w:t>
            </w:r>
          </w:p>
        </w:tc>
      </w:tr>
    </w:tbl>
    <w:p>
      <w:pPr>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注：1）采购人/采购代理机构应当根据上表结合具体采购项目按照有关规定自行制定综合评分明细表。</w:t>
      </w:r>
    </w:p>
    <w:p>
      <w:pPr>
        <w:tabs>
          <w:tab w:val="left" w:pos="851"/>
        </w:tabs>
        <w:spacing w:line="40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2）评分的取值按四舍五入法，保留小数点后两位。</w:t>
      </w:r>
    </w:p>
    <w:p>
      <w:pPr>
        <w:tabs>
          <w:tab w:val="left" w:pos="851"/>
        </w:tabs>
        <w:spacing w:line="400" w:lineRule="exact"/>
        <w:ind w:firstLine="482" w:firstLineChars="200"/>
        <w:rPr>
          <w:rFonts w:hint="eastAsia" w:ascii="仿宋" w:hAnsi="仿宋" w:eastAsia="仿宋" w:cs="仿宋"/>
          <w:b/>
          <w:color w:val="auto"/>
          <w:sz w:val="24"/>
          <w:highlight w:val="none"/>
        </w:rPr>
      </w:pPr>
    </w:p>
    <w:p>
      <w:pPr>
        <w:tabs>
          <w:tab w:val="left" w:pos="851"/>
        </w:tabs>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4.磋商纪律及注意事项</w:t>
      </w:r>
    </w:p>
    <w:p>
      <w:pPr>
        <w:tabs>
          <w:tab w:val="left" w:pos="851"/>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4.1磋商小组内部讨论的情况和意见必须保密，任何人不得以任何形式透露给供应商或与供应商有关的单位或个人。</w:t>
      </w:r>
    </w:p>
    <w:p>
      <w:pPr>
        <w:tabs>
          <w:tab w:val="left" w:pos="851"/>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4.2在磋商过程中，供应商不得以任何形式对磋商小组成员进行旨在影响谈判结果的私下接触，否则将取消其参与磋商的资格。</w:t>
      </w:r>
    </w:p>
    <w:p>
      <w:pPr>
        <w:tabs>
          <w:tab w:val="left" w:pos="851"/>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4.3对各供应商的商业秘密，磋商小组成员应予以保密，不得泄露给其他供应商。</w:t>
      </w:r>
    </w:p>
    <w:p>
      <w:pPr>
        <w:tabs>
          <w:tab w:val="left" w:pos="851"/>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4.4 磋商小组独立评判，推荐成交候选人，并写出书面报告。</w:t>
      </w:r>
    </w:p>
    <w:p>
      <w:pPr>
        <w:tabs>
          <w:tab w:val="left" w:pos="851"/>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 磋商小组可根据需要对供应商进行实地考察。</w:t>
      </w:r>
    </w:p>
    <w:p>
      <w:pPr>
        <w:spacing w:line="400" w:lineRule="exact"/>
        <w:ind w:firstLine="480" w:firstLineChars="200"/>
        <w:rPr>
          <w:rFonts w:hint="eastAsia" w:ascii="仿宋" w:hAnsi="仿宋" w:eastAsia="仿宋" w:cs="仿宋"/>
          <w:color w:val="auto"/>
          <w:sz w:val="24"/>
          <w:highlight w:val="none"/>
        </w:rPr>
      </w:pPr>
    </w:p>
    <w:p>
      <w:pPr>
        <w:tabs>
          <w:tab w:val="left" w:pos="7665"/>
        </w:tabs>
        <w:spacing w:line="40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5.</w:t>
      </w:r>
      <w:bookmarkEnd w:id="93"/>
      <w:r>
        <w:rPr>
          <w:rFonts w:hint="eastAsia" w:ascii="仿宋" w:hAnsi="仿宋" w:eastAsia="仿宋" w:cs="仿宋"/>
          <w:b/>
          <w:color w:val="auto"/>
          <w:sz w:val="24"/>
          <w:highlight w:val="none"/>
        </w:rPr>
        <w:t>磋商小组在采购活动中承担以下义务：</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（一）遵守评审工作纪律；</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（二）按照客观、公正、审慎的原则，根据磋商文件规定的评审程序、评审方法和评审标准进行独立评审；</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（三）不得泄露评审文件、评审情况和在评审过程中获悉的商业秘密；</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（六）及时向财政、监察等部门举报在评审过程中受到非法干预的情况；</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（七）配合答复处理供应商的询问、质疑和投诉等事项；</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（八）法律、法规和规章规定的其他义务。</w:t>
      </w:r>
    </w:p>
    <w:p>
      <w:pPr>
        <w:tabs>
          <w:tab w:val="left" w:pos="7665"/>
        </w:tabs>
        <w:spacing w:line="400" w:lineRule="exact"/>
        <w:rPr>
          <w:rFonts w:hint="eastAsia" w:ascii="仿宋" w:hAnsi="仿宋" w:eastAsia="仿宋" w:cs="仿宋"/>
          <w:color w:val="auto"/>
          <w:sz w:val="24"/>
          <w:highlight w:val="none"/>
        </w:rPr>
      </w:pPr>
    </w:p>
    <w:p>
      <w:pPr>
        <w:tabs>
          <w:tab w:val="left" w:pos="7665"/>
        </w:tabs>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6.评审专家在采购活动中应当遵守以下工作纪律：</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（一）不得参加与自己有利害关系的采购项目的评标活动。发现参加了与自己有利害关系的评审活动，须主动提出回避，退出评审；</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（二）评审前，应当将通讯工具或者相关电子设备交由采购代理机构统一保管；</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（五）在评审过程中和评审结束后，不得记录、复制或带走任何评审资料，不得向外界透露评审内容；</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（六）评审现场服从采购代理机构工作人员的管理，接受现场监督人员的合法监督；</w:t>
      </w:r>
    </w:p>
    <w:p>
      <w:pPr>
        <w:tabs>
          <w:tab w:val="left" w:pos="7665"/>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（七）遵守有关廉洁自律规定，不得私下接触供应商，不得收受供应商及有关业务单位和个人的财物或好处，不得接受采购代理机构的请托。</w:t>
      </w:r>
    </w:p>
    <w:p>
      <w:pPr>
        <w:pStyle w:val="2"/>
        <w:spacing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Start w:id="94" w:name="_Toc26292"/>
      <w:bookmarkStart w:id="95" w:name="_Toc17098"/>
      <w:r>
        <w:rPr>
          <w:rFonts w:hint="eastAsia" w:ascii="仿宋" w:hAnsi="仿宋" w:eastAsia="仿宋" w:cs="仿宋"/>
          <w:color w:val="auto"/>
          <w:sz w:val="32"/>
          <w:szCs w:val="32"/>
          <w:highlight w:val="none"/>
        </w:rPr>
        <w:t>第九章  采购合同（草案）</w:t>
      </w:r>
      <w:bookmarkEnd w:id="94"/>
      <w:bookmarkEnd w:id="95"/>
    </w:p>
    <w:bookmarkEnd w:id="77"/>
    <w:bookmarkEnd w:id="78"/>
    <w:bookmarkEnd w:id="79"/>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合同编号：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签订地点：</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签订时间：</w:t>
      </w:r>
      <w:r>
        <w:rPr>
          <w:rFonts w:hint="eastAsia" w:ascii="仿宋" w:hAnsi="仿宋" w:eastAsia="仿宋" w:cs="仿宋"/>
          <w:color w:val="auto"/>
          <w:sz w:val="24"/>
          <w:u w:val="single"/>
          <w:lang w:eastAsia="zh-CN"/>
        </w:rPr>
        <w:t>202</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rPr>
        <w:t>年</w:t>
      </w:r>
      <w:r>
        <w:rPr>
          <w:rFonts w:hint="eastAsia" w:ascii="仿宋" w:hAnsi="仿宋" w:eastAsia="仿宋" w:cs="仿宋"/>
          <w:color w:val="auto"/>
          <w:szCs w:val="21"/>
          <w:u w:val="single"/>
        </w:rPr>
        <w:t xml:space="preserve">     </w:t>
      </w:r>
      <w:r>
        <w:rPr>
          <w:rFonts w:hint="eastAsia" w:ascii="仿宋" w:hAnsi="仿宋" w:eastAsia="仿宋" w:cs="仿宋"/>
          <w:color w:val="auto"/>
          <w:sz w:val="24"/>
        </w:rPr>
        <w:t>月</w:t>
      </w:r>
      <w:r>
        <w:rPr>
          <w:rFonts w:hint="eastAsia" w:ascii="仿宋" w:hAnsi="仿宋" w:eastAsia="仿宋" w:cs="仿宋"/>
          <w:color w:val="auto"/>
          <w:szCs w:val="21"/>
          <w:u w:val="single"/>
        </w:rPr>
        <w:t xml:space="preserve">     </w:t>
      </w:r>
      <w:r>
        <w:rPr>
          <w:rFonts w:hint="eastAsia" w:ascii="仿宋" w:hAnsi="仿宋" w:eastAsia="仿宋" w:cs="仿宋"/>
          <w:color w:val="auto"/>
          <w:sz w:val="24"/>
        </w:rPr>
        <w:t>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采购人（甲方）：</w:t>
      </w:r>
      <w:r>
        <w:rPr>
          <w:rFonts w:hint="eastAsia" w:ascii="仿宋" w:hAnsi="仿宋" w:eastAsia="仿宋" w:cs="仿宋"/>
          <w:color w:val="auto"/>
          <w:sz w:val="24"/>
          <w:u w:val="single"/>
        </w:rPr>
        <w:t xml:space="preserve">                              </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供应商（乙方）：</w:t>
      </w:r>
      <w:r>
        <w:rPr>
          <w:rFonts w:hint="eastAsia" w:ascii="仿宋" w:hAnsi="仿宋" w:eastAsia="仿宋" w:cs="仿宋"/>
          <w:color w:val="auto"/>
          <w:sz w:val="24"/>
          <w:u w:val="single"/>
        </w:rPr>
        <w:t xml:space="preserve">                              </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参照</w:t>
      </w:r>
      <w:r>
        <w:rPr>
          <w:rFonts w:hint="eastAsia" w:ascii="仿宋" w:hAnsi="仿宋" w:eastAsia="仿宋" w:cs="仿宋"/>
          <w:color w:val="auto"/>
          <w:sz w:val="24"/>
        </w:rPr>
        <w:t>《中华人民共和国民法典》、《中华人民共和国政府采购法》与项目行业有关的法律法规，以及</w:t>
      </w:r>
      <w:r>
        <w:rPr>
          <w:rFonts w:hint="eastAsia" w:ascii="仿宋" w:hAnsi="仿宋" w:eastAsia="仿宋" w:cs="仿宋"/>
          <w:color w:val="auto"/>
          <w:szCs w:val="21"/>
          <w:u w:val="single"/>
        </w:rPr>
        <w:t xml:space="preserve">      </w:t>
      </w:r>
      <w:r>
        <w:rPr>
          <w:rFonts w:hint="eastAsia" w:ascii="仿宋" w:hAnsi="仿宋" w:eastAsia="仿宋" w:cs="仿宋"/>
          <w:color w:val="auto"/>
          <w:sz w:val="24"/>
        </w:rPr>
        <w:t>项目（采购编号：</w:t>
      </w:r>
      <w:r>
        <w:rPr>
          <w:rFonts w:hint="eastAsia" w:ascii="仿宋" w:hAnsi="仿宋" w:eastAsia="仿宋" w:cs="仿宋"/>
          <w:color w:val="auto"/>
          <w:szCs w:val="21"/>
          <w:u w:val="single"/>
        </w:rPr>
        <w:t xml:space="preserve">       </w:t>
      </w:r>
      <w:r>
        <w:rPr>
          <w:rFonts w:hint="eastAsia" w:ascii="仿宋" w:hAnsi="仿宋" w:eastAsia="仿宋" w:cs="仿宋"/>
          <w:color w:val="auto"/>
          <w:sz w:val="24"/>
        </w:rPr>
        <w:t>）的《竞争性磋商文件》，乙方的《</w:t>
      </w:r>
      <w:r>
        <w:rPr>
          <w:rFonts w:hint="eastAsia" w:ascii="仿宋" w:hAnsi="仿宋" w:eastAsia="仿宋" w:cs="仿宋"/>
          <w:color w:val="auto"/>
          <w:sz w:val="24"/>
          <w:szCs w:val="24"/>
        </w:rPr>
        <w:t>响应</w:t>
      </w:r>
      <w:r>
        <w:rPr>
          <w:rFonts w:hint="eastAsia" w:ascii="仿宋" w:hAnsi="仿宋" w:eastAsia="仿宋" w:cs="仿宋"/>
          <w:color w:val="auto"/>
          <w:sz w:val="24"/>
        </w:rPr>
        <w:t>文件》及《</w:t>
      </w:r>
      <w:r>
        <w:rPr>
          <w:rFonts w:hint="eastAsia" w:ascii="仿宋" w:hAnsi="仿宋" w:eastAsia="仿宋" w:cs="仿宋"/>
          <w:color w:val="auto"/>
          <w:sz w:val="24"/>
          <w:szCs w:val="24"/>
        </w:rPr>
        <w:t>成交</w:t>
      </w:r>
      <w:r>
        <w:rPr>
          <w:rFonts w:hint="eastAsia" w:ascii="仿宋" w:hAnsi="仿宋" w:eastAsia="仿宋" w:cs="仿宋"/>
          <w:color w:val="auto"/>
          <w:sz w:val="24"/>
        </w:rPr>
        <w:t>通知书》，甲、乙双方同意签订本合同。详细技术说明及其他有关合同项目的特定信息由合同附件予以说明，合同附件及本项目的《竞争性磋商文件》、《</w:t>
      </w:r>
      <w:r>
        <w:rPr>
          <w:rFonts w:hint="eastAsia" w:ascii="仿宋" w:hAnsi="仿宋" w:eastAsia="仿宋" w:cs="仿宋"/>
          <w:color w:val="auto"/>
          <w:sz w:val="24"/>
          <w:szCs w:val="24"/>
        </w:rPr>
        <w:t>响应</w:t>
      </w:r>
      <w:r>
        <w:rPr>
          <w:rFonts w:hint="eastAsia" w:ascii="仿宋" w:hAnsi="仿宋" w:eastAsia="仿宋" w:cs="仿宋"/>
          <w:color w:val="auto"/>
          <w:sz w:val="24"/>
        </w:rPr>
        <w:t xml:space="preserve">文件》、《成交通知书》等均为本合同的组成部分。 </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合同期限</w:t>
      </w:r>
    </w:p>
    <w:p>
      <w:pPr>
        <w:numPr>
          <w:ilvl w:val="0"/>
          <w:numId w:val="0"/>
        </w:numPr>
        <w:spacing w:line="360" w:lineRule="auto"/>
        <w:ind w:leftChars="0"/>
        <w:rPr>
          <w:rFonts w:hint="eastAsia" w:ascii="仿宋" w:hAnsi="仿宋" w:eastAsia="仿宋" w:cs="仿宋"/>
          <w:b/>
          <w:color w:val="auto"/>
          <w:sz w:val="24"/>
        </w:rPr>
      </w:pPr>
    </w:p>
    <w:p>
      <w:pPr>
        <w:numPr>
          <w:ilvl w:val="0"/>
          <w:numId w:val="1"/>
        </w:numPr>
        <w:spacing w:line="360" w:lineRule="auto"/>
        <w:rPr>
          <w:rFonts w:hint="eastAsia" w:ascii="仿宋" w:hAnsi="仿宋" w:eastAsia="仿宋" w:cs="仿宋"/>
          <w:b/>
          <w:color w:val="auto"/>
          <w:sz w:val="24"/>
        </w:rPr>
      </w:pPr>
      <w:bookmarkStart w:id="96" w:name="_Toc239233914"/>
      <w:bookmarkStart w:id="97" w:name="_Toc247334841"/>
      <w:bookmarkStart w:id="98" w:name="_Toc225670751"/>
      <w:bookmarkStart w:id="99" w:name="_Toc237145406"/>
      <w:bookmarkStart w:id="100" w:name="_Toc239568418"/>
      <w:bookmarkStart w:id="101" w:name="_Toc225244852"/>
      <w:bookmarkStart w:id="102" w:name="_Toc211911348"/>
      <w:bookmarkStart w:id="103" w:name="_Toc251768862"/>
      <w:bookmarkStart w:id="104" w:name="_Toc241833903"/>
      <w:bookmarkStart w:id="105" w:name="_Toc232492928"/>
      <w:bookmarkStart w:id="106" w:name="_Toc212019594"/>
      <w:bookmarkStart w:id="107" w:name="_Toc282696226"/>
      <w:bookmarkStart w:id="108" w:name="_Toc185395249"/>
      <w:bookmarkStart w:id="109" w:name="_Toc283019214"/>
      <w:bookmarkStart w:id="110" w:name="_Toc286993786"/>
      <w:bookmarkStart w:id="111" w:name="_Toc211854449"/>
      <w:bookmarkStart w:id="112" w:name="_Toc238984975"/>
      <w:bookmarkStart w:id="113" w:name="_Toc225654644"/>
      <w:r>
        <w:rPr>
          <w:rFonts w:hint="eastAsia" w:ascii="仿宋" w:hAnsi="仿宋" w:eastAsia="仿宋" w:cs="仿宋"/>
          <w:color w:val="auto"/>
          <w:sz w:val="24"/>
          <w:lang w:val="en-US" w:eastAsia="zh-CN"/>
        </w:rPr>
        <w:t xml:space="preserve"> </w:t>
      </w:r>
      <w:r>
        <w:rPr>
          <w:rFonts w:hint="eastAsia" w:ascii="仿宋" w:hAnsi="仿宋" w:eastAsia="仿宋" w:cs="仿宋"/>
          <w:b/>
          <w:color w:val="auto"/>
          <w:sz w:val="24"/>
        </w:rPr>
        <w:t>服务内容与质量标准</w:t>
      </w:r>
    </w:p>
    <w:p>
      <w:pPr>
        <w:spacing w:line="360" w:lineRule="auto"/>
        <w:ind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服务费用及支付方式</w:t>
      </w:r>
    </w:p>
    <w:p>
      <w:pPr>
        <w:numPr>
          <w:ilvl w:val="0"/>
          <w:numId w:val="2"/>
        </w:numPr>
        <w:spacing w:line="360" w:lineRule="auto"/>
        <w:ind w:left="0" w:firstLine="567"/>
        <w:rPr>
          <w:rFonts w:hint="eastAsia" w:ascii="仿宋" w:hAnsi="仿宋" w:eastAsia="仿宋" w:cs="仿宋"/>
          <w:b/>
          <w:color w:val="auto"/>
          <w:sz w:val="24"/>
        </w:rPr>
      </w:pPr>
      <w:r>
        <w:rPr>
          <w:rFonts w:hint="eastAsia" w:ascii="仿宋" w:hAnsi="仿宋" w:eastAsia="仿宋" w:cs="仿宋"/>
          <w:b/>
          <w:color w:val="auto"/>
          <w:sz w:val="24"/>
        </w:rPr>
        <w:t>本项目服务费用由以下组成：</w:t>
      </w:r>
    </w:p>
    <w:p>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numPr>
          <w:ilvl w:val="0"/>
          <w:numId w:val="2"/>
        </w:numPr>
        <w:tabs>
          <w:tab w:val="left" w:pos="780"/>
        </w:tabs>
        <w:spacing w:line="360" w:lineRule="auto"/>
        <w:ind w:left="0" w:firstLine="567"/>
        <w:rPr>
          <w:rFonts w:hint="eastAsia" w:ascii="仿宋" w:hAnsi="仿宋" w:eastAsia="仿宋" w:cs="仿宋"/>
          <w:b w:val="0"/>
          <w:bCs/>
          <w:color w:val="auto"/>
          <w:sz w:val="24"/>
        </w:rPr>
      </w:pPr>
      <w:r>
        <w:rPr>
          <w:rFonts w:hint="eastAsia" w:ascii="仿宋" w:hAnsi="仿宋" w:eastAsia="仿宋" w:cs="仿宋"/>
          <w:b/>
          <w:color w:val="auto"/>
          <w:sz w:val="24"/>
        </w:rPr>
        <w:t>服务费支付方式：</w:t>
      </w:r>
      <w:r>
        <w:rPr>
          <w:rFonts w:hint="eastAsia" w:ascii="仿宋" w:hAnsi="仿宋" w:eastAsia="仿宋" w:cs="仿宋"/>
          <w:b/>
          <w:color w:val="auto"/>
          <w:sz w:val="24"/>
          <w:lang w:val="en-US" w:eastAsia="zh-CN"/>
        </w:rPr>
        <w:t xml:space="preserve">                             </w:t>
      </w:r>
      <w:r>
        <w:rPr>
          <w:rFonts w:hint="eastAsia" w:ascii="仿宋" w:hAnsi="仿宋" w:eastAsia="仿宋" w:cs="仿宋"/>
          <w:b w:val="0"/>
          <w:bCs/>
          <w:color w:val="auto"/>
          <w:sz w:val="24"/>
          <w:lang w:eastAsia="zh-CN"/>
        </w:rPr>
        <w:t>。</w:t>
      </w:r>
    </w:p>
    <w:p>
      <w:pPr>
        <w:tabs>
          <w:tab w:val="left" w:pos="780"/>
        </w:tabs>
        <w:spacing w:line="360" w:lineRule="auto"/>
        <w:ind w:left="567"/>
        <w:rPr>
          <w:rFonts w:hint="eastAsia" w:ascii="仿宋" w:hAnsi="仿宋" w:eastAsia="仿宋" w:cs="仿宋"/>
          <w:b/>
          <w:color w:val="auto"/>
          <w:sz w:val="24"/>
        </w:rPr>
      </w:pP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知识产权</w:t>
      </w:r>
    </w:p>
    <w:p>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乙方应保证所提供的服务或其任何一部分均不会侵犯任何第三方的专利权、商标权或著作权。</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无产权瑕疵条款</w:t>
      </w:r>
    </w:p>
    <w:p>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乙方保证所提供的服务的所有权完全属于乙方且无任何抵押、查封等产权瑕疵。如有产权瑕疵的，视为乙方违约。乙方应负担由此而产生的一切损失。</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履约保证金</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1、乙方交纳人民币</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元作为本合同的履约保证金。</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2、履约保证金作为违约金的一部分及用于补偿甲方因乙方不能履行合同义务而蒙受的损失。</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甲方的权利和义务</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3、负责检查监督乙方管理工作的实施及制度的执行情况。</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4、根据本合同规定，按时向乙方支付应付服务费用。</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5、国家法律、法规所规定由甲方承担的其它责任。</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乙方的权利和义务</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1、对本合同规定的委托服务范围内的项目享有管理权及服务义务。</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hint="eastAsia" w:ascii="仿宋" w:hAnsi="仿宋" w:eastAsia="仿宋" w:cs="仿宋"/>
          <w:color w:val="auto"/>
          <w:sz w:val="24"/>
        </w:rPr>
      </w:pPr>
      <w:r>
        <w:rPr>
          <w:rFonts w:hint="eastAsia" w:ascii="仿宋" w:hAnsi="仿宋" w:eastAsia="仿宋" w:cs="仿宋"/>
          <w:color w:val="auto"/>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color w:val="auto"/>
          <w:sz w:val="24"/>
        </w:rPr>
        <w:t>4、</w:t>
      </w:r>
      <w:r>
        <w:rPr>
          <w:rFonts w:hint="eastAsia" w:ascii="仿宋" w:hAnsi="仿宋" w:eastAsia="仿宋" w:cs="仿宋"/>
          <w:bCs/>
          <w:color w:val="auto"/>
          <w:sz w:val="24"/>
        </w:rPr>
        <w:t>接受项目行业管理部门及政府有关部门的指导，接受甲方的监督。</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5、国家法律、法规所规定由乙方承担的其它责任。</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违约责任</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1、甲乙双方必须遵守本合同并执行合同中的各项规定，保证本合同的正常履行。</w:t>
      </w:r>
    </w:p>
    <w:p>
      <w:pPr>
        <w:adjustRightInd w:val="0"/>
        <w:spacing w:line="360" w:lineRule="auto"/>
        <w:ind w:firstLine="480" w:firstLineChars="200"/>
        <w:jc w:val="left"/>
        <w:textAlignment w:val="baseline"/>
        <w:rPr>
          <w:rFonts w:hint="eastAsia" w:ascii="仿宋" w:hAnsi="仿宋" w:eastAsia="仿宋" w:cs="仿宋"/>
          <w:bCs/>
          <w:color w:val="auto"/>
          <w:sz w:val="24"/>
        </w:rPr>
      </w:pPr>
      <w:r>
        <w:rPr>
          <w:rFonts w:hint="eastAsia" w:ascii="仿宋" w:hAnsi="仿宋" w:eastAsia="仿宋" w:cs="仿宋"/>
          <w:bCs/>
          <w:color w:val="auto"/>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
        </w:numPr>
        <w:spacing w:line="360" w:lineRule="auto"/>
        <w:rPr>
          <w:rFonts w:hint="eastAsia" w:ascii="仿宋" w:hAnsi="仿宋" w:eastAsia="仿宋" w:cs="仿宋"/>
          <w:b/>
          <w:color w:val="auto"/>
          <w:sz w:val="24"/>
        </w:rPr>
      </w:pPr>
      <w:r>
        <w:rPr>
          <w:rFonts w:hint="eastAsia" w:ascii="仿宋" w:hAnsi="仿宋" w:eastAsia="仿宋" w:cs="仿宋"/>
          <w:b/>
          <w:color w:val="auto"/>
          <w:sz w:val="24"/>
        </w:rPr>
        <w:t>不可抗力事件处理</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2、不可抗力事件发生后，应立即通知对方，并寄送有关权威机构出具的证明。</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3、不可抗力事件延续</w:t>
      </w:r>
      <w:r>
        <w:rPr>
          <w:rFonts w:hint="eastAsia" w:ascii="仿宋" w:hAnsi="仿宋" w:eastAsia="仿宋" w:cs="仿宋"/>
          <w:color w:val="auto"/>
          <w:sz w:val="24"/>
          <w:u w:val="single"/>
        </w:rPr>
        <w:t xml:space="preserve">      </w:t>
      </w:r>
      <w:r>
        <w:rPr>
          <w:rFonts w:hint="eastAsia" w:ascii="仿宋" w:hAnsi="仿宋" w:eastAsia="仿宋" w:cs="仿宋"/>
          <w:color w:val="auto"/>
          <w:sz w:val="24"/>
        </w:rPr>
        <w:t>天以上，双方应通过友好协商，确定是否继续履行合同。</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Pr>
        <w:numPr>
          <w:ilvl w:val="0"/>
          <w:numId w:val="1"/>
        </w:numPr>
        <w:spacing w:line="360" w:lineRule="auto"/>
        <w:rPr>
          <w:rFonts w:hint="eastAsia" w:ascii="仿宋" w:hAnsi="仿宋" w:eastAsia="仿宋" w:cs="仿宋"/>
          <w:b/>
          <w:color w:val="auto"/>
          <w:sz w:val="24"/>
        </w:rPr>
      </w:pPr>
      <w:bookmarkStart w:id="114" w:name="_Toc237145411"/>
      <w:bookmarkStart w:id="115" w:name="_Toc241833908"/>
      <w:bookmarkStart w:id="116" w:name="_Toc251768867"/>
      <w:bookmarkStart w:id="117" w:name="_Toc211854454"/>
      <w:bookmarkStart w:id="118" w:name="_Toc232492933"/>
      <w:bookmarkStart w:id="119" w:name="_Toc238984980"/>
      <w:bookmarkStart w:id="120" w:name="_Toc212019599"/>
      <w:bookmarkStart w:id="121" w:name="_Toc239233919"/>
      <w:bookmarkStart w:id="122" w:name="_Toc286993792"/>
      <w:bookmarkStart w:id="123" w:name="_Toc225670756"/>
      <w:bookmarkStart w:id="124" w:name="_Toc211911353"/>
      <w:bookmarkStart w:id="125" w:name="_Toc239568423"/>
      <w:bookmarkStart w:id="126" w:name="_Toc225654649"/>
      <w:bookmarkStart w:id="127" w:name="_Toc185395254"/>
      <w:bookmarkStart w:id="128" w:name="_Toc247334846"/>
      <w:bookmarkStart w:id="129" w:name="_Toc225244857"/>
      <w:r>
        <w:rPr>
          <w:rFonts w:hint="eastAsia" w:ascii="仿宋" w:hAnsi="仿宋" w:eastAsia="仿宋" w:cs="仿宋"/>
          <w:b/>
          <w:color w:val="auto"/>
          <w:sz w:val="24"/>
        </w:rPr>
        <w:t>解决合同纠纷的方式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1、在执行本合同中发生的或与本合同有关的争端，双方应通过友好协商解决，经协商在</w:t>
      </w:r>
      <w:r>
        <w:rPr>
          <w:rFonts w:hint="eastAsia" w:ascii="仿宋" w:hAnsi="仿宋" w:eastAsia="仿宋" w:cs="仿宋"/>
          <w:color w:val="auto"/>
          <w:szCs w:val="21"/>
        </w:rPr>
        <w:t>XX</w:t>
      </w:r>
      <w:r>
        <w:rPr>
          <w:rFonts w:hint="eastAsia" w:ascii="仿宋" w:hAnsi="仿宋" w:eastAsia="仿宋" w:cs="仿宋"/>
          <w:color w:val="auto"/>
          <w:sz w:val="24"/>
        </w:rPr>
        <w:t>天内不能达成协议时，应提交</w:t>
      </w:r>
      <w:r>
        <w:rPr>
          <w:rFonts w:hint="eastAsia" w:ascii="仿宋" w:hAnsi="仿宋" w:eastAsia="仿宋" w:cs="仿宋"/>
          <w:color w:val="auto"/>
          <w:sz w:val="24"/>
          <w:lang w:val="en-US" w:eastAsia="zh-CN"/>
        </w:rPr>
        <w:t>乐山市</w:t>
      </w:r>
      <w:r>
        <w:rPr>
          <w:rFonts w:hint="eastAsia" w:ascii="仿宋" w:hAnsi="仿宋" w:eastAsia="仿宋" w:cs="仿宋"/>
          <w:color w:val="auto"/>
          <w:sz w:val="24"/>
        </w:rPr>
        <w:t>仲裁委员会仲裁。</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2、仲裁裁决应为最终决定，并对双方具有约束力。</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3、除另有裁决外，仲裁费应由败诉方负担。 </w:t>
      </w:r>
    </w:p>
    <w:p>
      <w:pPr>
        <w:tabs>
          <w:tab w:val="left" w:pos="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4、在仲裁期间，除正在进行仲裁部分外，合同其他部分继续执行。  </w:t>
      </w:r>
    </w:p>
    <w:p>
      <w:pPr>
        <w:numPr>
          <w:ilvl w:val="0"/>
          <w:numId w:val="1"/>
        </w:numPr>
        <w:spacing w:line="360" w:lineRule="auto"/>
        <w:rPr>
          <w:rFonts w:hint="eastAsia" w:ascii="仿宋" w:hAnsi="仿宋" w:eastAsia="仿宋" w:cs="仿宋"/>
          <w:b/>
          <w:color w:val="auto"/>
          <w:sz w:val="24"/>
        </w:rPr>
      </w:pPr>
      <w:bookmarkStart w:id="130" w:name="_Toc225654650"/>
      <w:bookmarkStart w:id="131" w:name="_Toc211911354"/>
      <w:bookmarkStart w:id="132" w:name="_Toc239568424"/>
      <w:bookmarkStart w:id="133" w:name="_Toc225244858"/>
      <w:bookmarkStart w:id="134" w:name="_Toc185395255"/>
      <w:bookmarkStart w:id="135" w:name="_Toc237145412"/>
      <w:bookmarkStart w:id="136" w:name="_Toc211854455"/>
      <w:bookmarkStart w:id="137" w:name="_Toc251768868"/>
      <w:bookmarkStart w:id="138" w:name="_Toc241833909"/>
      <w:bookmarkStart w:id="139" w:name="_Toc238984981"/>
      <w:bookmarkStart w:id="140" w:name="_Toc282696231"/>
      <w:bookmarkStart w:id="141" w:name="_Toc239233920"/>
      <w:bookmarkStart w:id="142" w:name="_Toc225670757"/>
      <w:bookmarkStart w:id="143" w:name="_Toc232492934"/>
      <w:bookmarkStart w:id="144" w:name="_Toc247334847"/>
      <w:bookmarkStart w:id="145" w:name="_Toc283019219"/>
      <w:bookmarkStart w:id="146" w:name="_Toc286993793"/>
      <w:bookmarkStart w:id="147" w:name="_Toc212019600"/>
      <w:r>
        <w:rPr>
          <w:rFonts w:hint="eastAsia" w:ascii="仿宋" w:hAnsi="仿宋" w:eastAsia="仿宋" w:cs="仿宋"/>
          <w:b/>
          <w:color w:val="auto"/>
          <w:sz w:val="24"/>
        </w:rPr>
        <w:t>合同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仿宋" w:hAnsi="仿宋" w:eastAsia="仿宋" w:cs="仿宋"/>
          <w:b/>
          <w:color w:val="auto"/>
          <w:sz w:val="24"/>
        </w:rPr>
        <w:t>生效及其他</w:t>
      </w:r>
    </w:p>
    <w:p>
      <w:pPr>
        <w:pStyle w:val="57"/>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1、合同经双方法定代表人或授权委托代理人签字并加盖单位公章后生效。</w:t>
      </w:r>
    </w:p>
    <w:p>
      <w:pPr>
        <w:pStyle w:val="57"/>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2、合同执行中涉及采购资金和采购内容修改或补充的，须经采购监管部门审批，并签书面补充协议报采购监督管理部门备案，方可作为主合同不可分割的一部分。</w:t>
      </w:r>
    </w:p>
    <w:p>
      <w:pPr>
        <w:pStyle w:val="57"/>
        <w:spacing w:line="360" w:lineRule="auto"/>
        <w:ind w:firstLine="480"/>
        <w:rPr>
          <w:rFonts w:hint="eastAsia" w:ascii="仿宋" w:hAnsi="仿宋" w:eastAsia="仿宋" w:cs="仿宋"/>
          <w:color w:val="auto"/>
          <w:sz w:val="24"/>
        </w:rPr>
      </w:pPr>
      <w:r>
        <w:rPr>
          <w:rFonts w:hint="eastAsia" w:ascii="仿宋" w:hAnsi="仿宋" w:eastAsia="仿宋" w:cs="仿宋"/>
          <w:color w:val="auto"/>
          <w:sz w:val="24"/>
          <w:szCs w:val="24"/>
        </w:rPr>
        <w:t>3、本合同一式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份，自双方签章之日起起效。甲方</w:t>
      </w:r>
      <w:r>
        <w:rPr>
          <w:rFonts w:hint="eastAsia" w:ascii="仿宋" w:hAnsi="仿宋" w:eastAsia="仿宋" w:cs="仿宋"/>
          <w:color w:val="auto"/>
          <w:szCs w:val="21"/>
          <w:u w:val="single"/>
        </w:rPr>
        <w:t xml:space="preserve">      </w:t>
      </w:r>
      <w:r>
        <w:rPr>
          <w:rFonts w:hint="eastAsia" w:ascii="仿宋" w:hAnsi="仿宋" w:eastAsia="仿宋" w:cs="仿宋"/>
          <w:color w:val="auto"/>
          <w:sz w:val="24"/>
          <w:szCs w:val="24"/>
        </w:rPr>
        <w:t>份，乙方</w:t>
      </w:r>
      <w:r>
        <w:rPr>
          <w:rFonts w:hint="eastAsia" w:ascii="仿宋" w:hAnsi="仿宋" w:eastAsia="仿宋" w:cs="仿宋"/>
          <w:color w:val="auto"/>
          <w:szCs w:val="21"/>
          <w:u w:val="single"/>
        </w:rPr>
        <w:t xml:space="preserve">      </w:t>
      </w:r>
      <w:r>
        <w:rPr>
          <w:rFonts w:hint="eastAsia" w:ascii="仿宋" w:hAnsi="仿宋" w:eastAsia="仿宋" w:cs="仿宋"/>
          <w:color w:val="auto"/>
          <w:sz w:val="24"/>
          <w:szCs w:val="24"/>
        </w:rPr>
        <w:t>份，采购代理机构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份，具有同等法律效力。</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甲方：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（盖章）</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乙方：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（盖章）</w:t>
      </w:r>
    </w:p>
    <w:p>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法定代表人（授权代表）：          法定代表人（授权代表）：</w:t>
      </w:r>
      <w:r>
        <w:rPr>
          <w:rFonts w:hint="eastAsia" w:ascii="仿宋" w:hAnsi="仿宋" w:eastAsia="仿宋" w:cs="仿宋"/>
          <w:color w:val="auto"/>
          <w:sz w:val="24"/>
          <w:lang w:val="en-US" w:eastAsia="zh-CN"/>
        </w:rPr>
        <w:t xml:space="preserve">    </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地    址：                       地    址：</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开户银行：                       开户银行：</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账号：                           账号：</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    话：                       电    话：</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传    真：                       传    真：</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签约日期：</w:t>
      </w:r>
      <w:r>
        <w:rPr>
          <w:rFonts w:hint="eastAsia" w:ascii="仿宋" w:hAnsi="仿宋" w:eastAsia="仿宋" w:cs="仿宋"/>
          <w:color w:val="auto"/>
          <w:sz w:val="24"/>
          <w:lang w:eastAsia="zh-CN"/>
        </w:rPr>
        <w:t>202</w:t>
      </w:r>
      <w:r>
        <w:rPr>
          <w:rFonts w:hint="eastAsia" w:ascii="仿宋" w:hAnsi="仿宋" w:eastAsia="仿宋" w:cs="仿宋"/>
          <w:color w:val="auto"/>
          <w:sz w:val="24"/>
          <w:lang w:val="en-US" w:eastAsia="zh-CN"/>
        </w:rPr>
        <w:t>5</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签约日期：</w:t>
      </w:r>
      <w:r>
        <w:rPr>
          <w:rFonts w:hint="eastAsia" w:ascii="仿宋" w:hAnsi="仿宋" w:eastAsia="仿宋" w:cs="仿宋"/>
          <w:color w:val="auto"/>
          <w:sz w:val="24"/>
          <w:lang w:eastAsia="zh-CN"/>
        </w:rPr>
        <w:t>202</w:t>
      </w:r>
      <w:r>
        <w:rPr>
          <w:rFonts w:hint="eastAsia" w:ascii="仿宋" w:hAnsi="仿宋" w:eastAsia="仿宋" w:cs="仿宋"/>
          <w:color w:val="auto"/>
          <w:sz w:val="24"/>
          <w:lang w:val="en-US" w:eastAsia="zh-CN"/>
        </w:rPr>
        <w:t>5</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10"/>
        <w:tabs>
          <w:tab w:val="left" w:pos="0"/>
        </w:tabs>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注：以上合同范本仅供参考，所有条款均可在采购人与成交供应商协商后进行修改</w:t>
      </w:r>
    </w:p>
    <w:p>
      <w:pPr>
        <w:pStyle w:val="10"/>
        <w:tabs>
          <w:tab w:val="left" w:pos="0"/>
        </w:tabs>
        <w:snapToGrid w:val="0"/>
        <w:spacing w:line="400" w:lineRule="exact"/>
        <w:rPr>
          <w:rFonts w:hint="eastAsia" w:ascii="仿宋" w:hAnsi="仿宋" w:eastAsia="仿宋" w:cs="仿宋"/>
          <w:color w:val="auto"/>
          <w:sz w:val="24"/>
          <w:szCs w:val="24"/>
        </w:rPr>
      </w:pPr>
    </w:p>
    <w:p>
      <w:pPr>
        <w:rPr>
          <w:rFonts w:hint="default" w:eastAsia="楷体_GB2312"/>
          <w:color w:val="auto"/>
          <w:sz w:val="28"/>
          <w:szCs w:val="28"/>
          <w:highlight w:val="none"/>
          <w:lang w:val="en-US" w:eastAsia="zh-CN"/>
        </w:rPr>
      </w:pPr>
    </w:p>
    <w:p>
      <w:pPr>
        <w:pStyle w:val="10"/>
        <w:tabs>
          <w:tab w:val="left" w:pos="0"/>
        </w:tabs>
        <w:snapToGrid w:val="0"/>
        <w:spacing w:line="400" w:lineRule="exact"/>
        <w:ind w:firstLine="960" w:firstLineChars="300"/>
        <w:rPr>
          <w:rFonts w:hint="eastAsia" w:ascii="仿宋" w:hAnsi="仿宋" w:eastAsia="仿宋" w:cs="仿宋"/>
          <w:color w:val="auto"/>
          <w:sz w:val="24"/>
          <w:szCs w:val="24"/>
          <w:highlight w:val="none"/>
        </w:rPr>
      </w:pPr>
      <w:r>
        <w:rPr>
          <w:rFonts w:hint="eastAsia" w:ascii="仿宋" w:hAnsi="仿宋" w:eastAsia="仿宋" w:cs="仿宋"/>
          <w:color w:val="auto"/>
          <w:sz w:val="32"/>
          <w:szCs w:val="32"/>
          <w:highlight w:val="none"/>
          <w:lang w:val="en-US" w:eastAsia="zh-CN"/>
        </w:rPr>
        <w:t xml:space="preserve">                   </w:t>
      </w:r>
    </w:p>
    <w:sectPr>
      <w:headerReference r:id="rId9" w:type="default"/>
      <w:footerReference r:id="rId10" w:type="default"/>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à.ā">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黄草简体">
    <w:altName w:val="宋体"/>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方正黄草简体" w:eastAsia="方正黄草简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 xml:space="preserve"> </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right" w:pos="8620"/>
        <w:tab w:val="clear" w:pos="8306"/>
      </w:tabs>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F4280"/>
    <w:multiLevelType w:val="singleLevel"/>
    <w:tmpl w:val="9A5F4280"/>
    <w:lvl w:ilvl="0" w:tentative="0">
      <w:start w:val="1"/>
      <w:numFmt w:val="decimal"/>
      <w:suff w:val="space"/>
      <w:lvlText w:val="%1、"/>
      <w:lvlJc w:val="left"/>
    </w:lvl>
  </w:abstractNum>
  <w:abstractNum w:abstractNumId="1">
    <w:nsid w:val="00000001"/>
    <w:multiLevelType w:val="multilevel"/>
    <w:tmpl w:val="00000001"/>
    <w:lvl w:ilvl="0" w:tentative="0">
      <w:start w:val="1"/>
      <w:numFmt w:val="chineseCountingThousand"/>
      <w:suff w:val="nothing"/>
      <w:lvlText w:val="(%1)"/>
      <w:lvlJc w:val="left"/>
      <w:pPr>
        <w:ind w:left="2688" w:hanging="420"/>
      </w:pPr>
      <w:rPr>
        <w:rFonts w:hint="eastAsia"/>
        <w:sz w:val="21"/>
        <w:szCs w:val="21"/>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abstractNum w:abstractNumId="2">
    <w:nsid w:val="00000010"/>
    <w:multiLevelType w:val="singleLevel"/>
    <w:tmpl w:val="00000010"/>
    <w:lvl w:ilvl="0" w:tentative="0">
      <w:start w:val="1"/>
      <w:numFmt w:val="decimal"/>
      <w:lvlText w:val="%1."/>
      <w:lvlJc w:val="left"/>
      <w:pPr>
        <w:tabs>
          <w:tab w:val="left" w:pos="84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1ZWFjZTg0NzI1NGQ3ZDBiNDBkZGMwZjJjY2QwYzYifQ=="/>
  </w:docVars>
  <w:rsids>
    <w:rsidRoot w:val="007C12CC"/>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588A"/>
    <w:rsid w:val="00081A37"/>
    <w:rsid w:val="00082B75"/>
    <w:rsid w:val="000834B0"/>
    <w:rsid w:val="000839BF"/>
    <w:rsid w:val="00084183"/>
    <w:rsid w:val="00084F3B"/>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2F7C"/>
    <w:rsid w:val="000D319D"/>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00DF"/>
    <w:rsid w:val="001212C2"/>
    <w:rsid w:val="0012276E"/>
    <w:rsid w:val="001239E7"/>
    <w:rsid w:val="00123E53"/>
    <w:rsid w:val="00123FC0"/>
    <w:rsid w:val="00126265"/>
    <w:rsid w:val="00126D87"/>
    <w:rsid w:val="00131F14"/>
    <w:rsid w:val="001329EB"/>
    <w:rsid w:val="001345C8"/>
    <w:rsid w:val="0013590F"/>
    <w:rsid w:val="00136485"/>
    <w:rsid w:val="00136D53"/>
    <w:rsid w:val="00142470"/>
    <w:rsid w:val="0014425B"/>
    <w:rsid w:val="001451F2"/>
    <w:rsid w:val="001464DD"/>
    <w:rsid w:val="001500D3"/>
    <w:rsid w:val="00150BFF"/>
    <w:rsid w:val="00151441"/>
    <w:rsid w:val="00152074"/>
    <w:rsid w:val="00153D4C"/>
    <w:rsid w:val="0015550E"/>
    <w:rsid w:val="00155E98"/>
    <w:rsid w:val="00156466"/>
    <w:rsid w:val="00156D44"/>
    <w:rsid w:val="001575FD"/>
    <w:rsid w:val="001602FE"/>
    <w:rsid w:val="00161AEF"/>
    <w:rsid w:val="00162078"/>
    <w:rsid w:val="0016341A"/>
    <w:rsid w:val="001648CD"/>
    <w:rsid w:val="001652F8"/>
    <w:rsid w:val="00165833"/>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C698F"/>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5E24"/>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E13FE"/>
    <w:rsid w:val="003E35F5"/>
    <w:rsid w:val="003E44CB"/>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4C0B"/>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1B9"/>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13C2"/>
    <w:rsid w:val="004924E2"/>
    <w:rsid w:val="0049282E"/>
    <w:rsid w:val="0049425B"/>
    <w:rsid w:val="00494369"/>
    <w:rsid w:val="004967DA"/>
    <w:rsid w:val="004A0510"/>
    <w:rsid w:val="004A11B8"/>
    <w:rsid w:val="004A2B4F"/>
    <w:rsid w:val="004A6596"/>
    <w:rsid w:val="004A7ED0"/>
    <w:rsid w:val="004B1CB6"/>
    <w:rsid w:val="004B2E17"/>
    <w:rsid w:val="004B31F5"/>
    <w:rsid w:val="004B397C"/>
    <w:rsid w:val="004B42C6"/>
    <w:rsid w:val="004B46E7"/>
    <w:rsid w:val="004B4E67"/>
    <w:rsid w:val="004B56B6"/>
    <w:rsid w:val="004B58B4"/>
    <w:rsid w:val="004B7913"/>
    <w:rsid w:val="004B7CD4"/>
    <w:rsid w:val="004C1A76"/>
    <w:rsid w:val="004C2D18"/>
    <w:rsid w:val="004C3CC5"/>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6640"/>
    <w:rsid w:val="004F6D0A"/>
    <w:rsid w:val="00500450"/>
    <w:rsid w:val="005023EE"/>
    <w:rsid w:val="00503CA8"/>
    <w:rsid w:val="0051137A"/>
    <w:rsid w:val="00511759"/>
    <w:rsid w:val="00512F35"/>
    <w:rsid w:val="00515F84"/>
    <w:rsid w:val="00516884"/>
    <w:rsid w:val="00516E92"/>
    <w:rsid w:val="0051796C"/>
    <w:rsid w:val="0052149F"/>
    <w:rsid w:val="005234C2"/>
    <w:rsid w:val="00523933"/>
    <w:rsid w:val="00524715"/>
    <w:rsid w:val="005275DB"/>
    <w:rsid w:val="00530C06"/>
    <w:rsid w:val="00534655"/>
    <w:rsid w:val="0053609E"/>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769A"/>
    <w:rsid w:val="005603D7"/>
    <w:rsid w:val="00560776"/>
    <w:rsid w:val="005651F2"/>
    <w:rsid w:val="00566BF2"/>
    <w:rsid w:val="00566C37"/>
    <w:rsid w:val="00567FBF"/>
    <w:rsid w:val="0057020D"/>
    <w:rsid w:val="005710B2"/>
    <w:rsid w:val="005715A3"/>
    <w:rsid w:val="005758DC"/>
    <w:rsid w:val="00575BB3"/>
    <w:rsid w:val="00575EC8"/>
    <w:rsid w:val="005770E1"/>
    <w:rsid w:val="00577D3B"/>
    <w:rsid w:val="00583ED8"/>
    <w:rsid w:val="00585C10"/>
    <w:rsid w:val="00585D18"/>
    <w:rsid w:val="00586DE8"/>
    <w:rsid w:val="005873E6"/>
    <w:rsid w:val="00587447"/>
    <w:rsid w:val="005876D8"/>
    <w:rsid w:val="00590091"/>
    <w:rsid w:val="00591013"/>
    <w:rsid w:val="0059168E"/>
    <w:rsid w:val="00591E80"/>
    <w:rsid w:val="0059553F"/>
    <w:rsid w:val="00595B7E"/>
    <w:rsid w:val="005A0637"/>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7E"/>
    <w:rsid w:val="00630CE7"/>
    <w:rsid w:val="00633FA7"/>
    <w:rsid w:val="006345DE"/>
    <w:rsid w:val="00635F76"/>
    <w:rsid w:val="0064216C"/>
    <w:rsid w:val="00643045"/>
    <w:rsid w:val="0064574D"/>
    <w:rsid w:val="00645C78"/>
    <w:rsid w:val="00646470"/>
    <w:rsid w:val="00646570"/>
    <w:rsid w:val="00650EC4"/>
    <w:rsid w:val="00652426"/>
    <w:rsid w:val="0065519A"/>
    <w:rsid w:val="006563EF"/>
    <w:rsid w:val="0065793E"/>
    <w:rsid w:val="00661CF4"/>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D1852"/>
    <w:rsid w:val="006D2D0E"/>
    <w:rsid w:val="006D4E10"/>
    <w:rsid w:val="006D539E"/>
    <w:rsid w:val="006D73C5"/>
    <w:rsid w:val="006D7AEE"/>
    <w:rsid w:val="006E0F4A"/>
    <w:rsid w:val="006E1B6F"/>
    <w:rsid w:val="006E1CB4"/>
    <w:rsid w:val="006E280B"/>
    <w:rsid w:val="006E3610"/>
    <w:rsid w:val="006E3819"/>
    <w:rsid w:val="006E3977"/>
    <w:rsid w:val="006E3EA3"/>
    <w:rsid w:val="006E57C3"/>
    <w:rsid w:val="006E5B7C"/>
    <w:rsid w:val="006E6C7E"/>
    <w:rsid w:val="006E714A"/>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26830"/>
    <w:rsid w:val="0073057D"/>
    <w:rsid w:val="00730609"/>
    <w:rsid w:val="007310CF"/>
    <w:rsid w:val="00731DA2"/>
    <w:rsid w:val="0073276D"/>
    <w:rsid w:val="00734122"/>
    <w:rsid w:val="007352A4"/>
    <w:rsid w:val="00735ACC"/>
    <w:rsid w:val="007368EF"/>
    <w:rsid w:val="00736FE3"/>
    <w:rsid w:val="00737F15"/>
    <w:rsid w:val="0074082A"/>
    <w:rsid w:val="007423F5"/>
    <w:rsid w:val="00742877"/>
    <w:rsid w:val="0074393D"/>
    <w:rsid w:val="00743991"/>
    <w:rsid w:val="007445AE"/>
    <w:rsid w:val="00746AD4"/>
    <w:rsid w:val="00750B7E"/>
    <w:rsid w:val="007515C4"/>
    <w:rsid w:val="007522B7"/>
    <w:rsid w:val="0075277D"/>
    <w:rsid w:val="007540CC"/>
    <w:rsid w:val="00754153"/>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5FBE"/>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39E5"/>
    <w:rsid w:val="007D425A"/>
    <w:rsid w:val="007D54E9"/>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4FFB"/>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87D8D"/>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618"/>
    <w:rsid w:val="00933D99"/>
    <w:rsid w:val="009346ED"/>
    <w:rsid w:val="00934880"/>
    <w:rsid w:val="00935053"/>
    <w:rsid w:val="0093520D"/>
    <w:rsid w:val="0093790A"/>
    <w:rsid w:val="009417EE"/>
    <w:rsid w:val="009420E2"/>
    <w:rsid w:val="00945A9B"/>
    <w:rsid w:val="00951C0F"/>
    <w:rsid w:val="00954A78"/>
    <w:rsid w:val="009618EC"/>
    <w:rsid w:val="00961BBD"/>
    <w:rsid w:val="0096295D"/>
    <w:rsid w:val="00964479"/>
    <w:rsid w:val="00966E0E"/>
    <w:rsid w:val="0097195D"/>
    <w:rsid w:val="009721A4"/>
    <w:rsid w:val="00972975"/>
    <w:rsid w:val="00973FEF"/>
    <w:rsid w:val="009752EE"/>
    <w:rsid w:val="009766B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2DB"/>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07AF"/>
    <w:rsid w:val="00A51A79"/>
    <w:rsid w:val="00A53021"/>
    <w:rsid w:val="00A53A2C"/>
    <w:rsid w:val="00A55909"/>
    <w:rsid w:val="00A56417"/>
    <w:rsid w:val="00A57448"/>
    <w:rsid w:val="00A65E47"/>
    <w:rsid w:val="00A66011"/>
    <w:rsid w:val="00A67908"/>
    <w:rsid w:val="00A7037C"/>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48FD"/>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606B"/>
    <w:rsid w:val="00BA6D7A"/>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971"/>
    <w:rsid w:val="00BC5C4C"/>
    <w:rsid w:val="00BC6B83"/>
    <w:rsid w:val="00BC6DAD"/>
    <w:rsid w:val="00BD1145"/>
    <w:rsid w:val="00BD2189"/>
    <w:rsid w:val="00BD232D"/>
    <w:rsid w:val="00BD2936"/>
    <w:rsid w:val="00BD40F4"/>
    <w:rsid w:val="00BD5772"/>
    <w:rsid w:val="00BD7565"/>
    <w:rsid w:val="00BE04B2"/>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6592"/>
    <w:rsid w:val="00C727E3"/>
    <w:rsid w:val="00C7317A"/>
    <w:rsid w:val="00C74A60"/>
    <w:rsid w:val="00C76857"/>
    <w:rsid w:val="00C77B4B"/>
    <w:rsid w:val="00C77FD7"/>
    <w:rsid w:val="00C81ECD"/>
    <w:rsid w:val="00C84EF2"/>
    <w:rsid w:val="00C8530A"/>
    <w:rsid w:val="00C8595C"/>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3EB"/>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76A"/>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7A3"/>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4D43"/>
    <w:rsid w:val="00E16DAB"/>
    <w:rsid w:val="00E2006D"/>
    <w:rsid w:val="00E22756"/>
    <w:rsid w:val="00E25815"/>
    <w:rsid w:val="00E26264"/>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154"/>
    <w:rsid w:val="00E757E9"/>
    <w:rsid w:val="00E7593F"/>
    <w:rsid w:val="00E768F9"/>
    <w:rsid w:val="00E771B0"/>
    <w:rsid w:val="00E77F8A"/>
    <w:rsid w:val="00E8219A"/>
    <w:rsid w:val="00E829CB"/>
    <w:rsid w:val="00E84D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6D08"/>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73F4"/>
    <w:rsid w:val="00FB784C"/>
    <w:rsid w:val="00FC0B4E"/>
    <w:rsid w:val="00FC168B"/>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5746A4"/>
    <w:rsid w:val="03682BD0"/>
    <w:rsid w:val="036E03F5"/>
    <w:rsid w:val="03B03E8F"/>
    <w:rsid w:val="042007E2"/>
    <w:rsid w:val="049C6CE2"/>
    <w:rsid w:val="04B17441"/>
    <w:rsid w:val="04C37710"/>
    <w:rsid w:val="05363999"/>
    <w:rsid w:val="056E7F60"/>
    <w:rsid w:val="05CA1BBA"/>
    <w:rsid w:val="060861E0"/>
    <w:rsid w:val="06404B4B"/>
    <w:rsid w:val="06641008"/>
    <w:rsid w:val="066464A1"/>
    <w:rsid w:val="067F0F8B"/>
    <w:rsid w:val="072D7BFA"/>
    <w:rsid w:val="07756F27"/>
    <w:rsid w:val="079210FD"/>
    <w:rsid w:val="07AF36F0"/>
    <w:rsid w:val="07E15408"/>
    <w:rsid w:val="08622149"/>
    <w:rsid w:val="086251A3"/>
    <w:rsid w:val="08B05348"/>
    <w:rsid w:val="08B35583"/>
    <w:rsid w:val="08C17EFD"/>
    <w:rsid w:val="08E27D9B"/>
    <w:rsid w:val="09444AC8"/>
    <w:rsid w:val="0981775F"/>
    <w:rsid w:val="09BD7F08"/>
    <w:rsid w:val="09D10450"/>
    <w:rsid w:val="09EA0BA6"/>
    <w:rsid w:val="0A573380"/>
    <w:rsid w:val="0A910585"/>
    <w:rsid w:val="0A924D8A"/>
    <w:rsid w:val="0A9A5107"/>
    <w:rsid w:val="0AB41112"/>
    <w:rsid w:val="0AD53953"/>
    <w:rsid w:val="0AEA74C1"/>
    <w:rsid w:val="0AFC2D42"/>
    <w:rsid w:val="0B314B1A"/>
    <w:rsid w:val="0B8B3DA2"/>
    <w:rsid w:val="0B9D0D45"/>
    <w:rsid w:val="0BC35AD0"/>
    <w:rsid w:val="0C5D660F"/>
    <w:rsid w:val="0C8A530E"/>
    <w:rsid w:val="0CA117AC"/>
    <w:rsid w:val="0CC541CF"/>
    <w:rsid w:val="0CD11D75"/>
    <w:rsid w:val="0D0166C5"/>
    <w:rsid w:val="0D0A44F4"/>
    <w:rsid w:val="0D393615"/>
    <w:rsid w:val="0D667DF8"/>
    <w:rsid w:val="0D831C39"/>
    <w:rsid w:val="0D900E8A"/>
    <w:rsid w:val="0D9116D3"/>
    <w:rsid w:val="0E2C55FF"/>
    <w:rsid w:val="0E3517B4"/>
    <w:rsid w:val="0E4F265A"/>
    <w:rsid w:val="0E59572E"/>
    <w:rsid w:val="0EA10190"/>
    <w:rsid w:val="0EC1317D"/>
    <w:rsid w:val="0EDB1163"/>
    <w:rsid w:val="0EEF1B15"/>
    <w:rsid w:val="0F420BED"/>
    <w:rsid w:val="0FCF3977"/>
    <w:rsid w:val="0FE37834"/>
    <w:rsid w:val="101F4669"/>
    <w:rsid w:val="10285F43"/>
    <w:rsid w:val="10A02D96"/>
    <w:rsid w:val="10E72550"/>
    <w:rsid w:val="10EB6C88"/>
    <w:rsid w:val="10F41C4B"/>
    <w:rsid w:val="110E4B2D"/>
    <w:rsid w:val="111933F0"/>
    <w:rsid w:val="113D4388"/>
    <w:rsid w:val="1148057F"/>
    <w:rsid w:val="116D2701"/>
    <w:rsid w:val="120E7F87"/>
    <w:rsid w:val="12267CC5"/>
    <w:rsid w:val="12504A8C"/>
    <w:rsid w:val="12705866"/>
    <w:rsid w:val="12953C72"/>
    <w:rsid w:val="1324646A"/>
    <w:rsid w:val="13583D3E"/>
    <w:rsid w:val="13654C84"/>
    <w:rsid w:val="137310CB"/>
    <w:rsid w:val="139A0451"/>
    <w:rsid w:val="14104D52"/>
    <w:rsid w:val="1415794C"/>
    <w:rsid w:val="144C7F8F"/>
    <w:rsid w:val="14B77189"/>
    <w:rsid w:val="151E3714"/>
    <w:rsid w:val="15A11FE6"/>
    <w:rsid w:val="16113B56"/>
    <w:rsid w:val="16570CCB"/>
    <w:rsid w:val="16656D7D"/>
    <w:rsid w:val="16DD516B"/>
    <w:rsid w:val="17870C11"/>
    <w:rsid w:val="17EA42D6"/>
    <w:rsid w:val="184C625D"/>
    <w:rsid w:val="191661C3"/>
    <w:rsid w:val="1A8366B9"/>
    <w:rsid w:val="1A9E3EF3"/>
    <w:rsid w:val="1AE224F7"/>
    <w:rsid w:val="1AFB5F2B"/>
    <w:rsid w:val="1B3331E2"/>
    <w:rsid w:val="1B447CB6"/>
    <w:rsid w:val="1B5D1299"/>
    <w:rsid w:val="1B917C90"/>
    <w:rsid w:val="1BC46DE4"/>
    <w:rsid w:val="1BD76FA0"/>
    <w:rsid w:val="1C4F1E4E"/>
    <w:rsid w:val="1D1C1CBA"/>
    <w:rsid w:val="1D4A1FD0"/>
    <w:rsid w:val="1DB86D2F"/>
    <w:rsid w:val="1E323D97"/>
    <w:rsid w:val="1E417C9D"/>
    <w:rsid w:val="1E710A72"/>
    <w:rsid w:val="1E994A16"/>
    <w:rsid w:val="1F4F13B0"/>
    <w:rsid w:val="1F803665"/>
    <w:rsid w:val="1FF5059E"/>
    <w:rsid w:val="1FFE6DC4"/>
    <w:rsid w:val="2069231B"/>
    <w:rsid w:val="20886A16"/>
    <w:rsid w:val="20DD5A89"/>
    <w:rsid w:val="215F00A5"/>
    <w:rsid w:val="21873970"/>
    <w:rsid w:val="22486A69"/>
    <w:rsid w:val="228F3313"/>
    <w:rsid w:val="229463AC"/>
    <w:rsid w:val="22D3107B"/>
    <w:rsid w:val="23306D39"/>
    <w:rsid w:val="237B2142"/>
    <w:rsid w:val="238261D8"/>
    <w:rsid w:val="23AF0F43"/>
    <w:rsid w:val="23B819BD"/>
    <w:rsid w:val="23C813E1"/>
    <w:rsid w:val="2405438C"/>
    <w:rsid w:val="24511431"/>
    <w:rsid w:val="247648AA"/>
    <w:rsid w:val="24E510F9"/>
    <w:rsid w:val="24F405D7"/>
    <w:rsid w:val="253D2F01"/>
    <w:rsid w:val="254F12AD"/>
    <w:rsid w:val="256D540C"/>
    <w:rsid w:val="25A410E9"/>
    <w:rsid w:val="25AA2364"/>
    <w:rsid w:val="25D92B8D"/>
    <w:rsid w:val="25F0742D"/>
    <w:rsid w:val="26045BB9"/>
    <w:rsid w:val="26457C17"/>
    <w:rsid w:val="265E609F"/>
    <w:rsid w:val="267401B1"/>
    <w:rsid w:val="268627C6"/>
    <w:rsid w:val="270D0F2E"/>
    <w:rsid w:val="272456F3"/>
    <w:rsid w:val="27296714"/>
    <w:rsid w:val="274E718B"/>
    <w:rsid w:val="2852007E"/>
    <w:rsid w:val="2868628B"/>
    <w:rsid w:val="28AB21D1"/>
    <w:rsid w:val="28DD6976"/>
    <w:rsid w:val="2976458E"/>
    <w:rsid w:val="2A276635"/>
    <w:rsid w:val="2A8601E8"/>
    <w:rsid w:val="2A922C92"/>
    <w:rsid w:val="2AB30709"/>
    <w:rsid w:val="2AC6233D"/>
    <w:rsid w:val="2B3C7855"/>
    <w:rsid w:val="2BB95082"/>
    <w:rsid w:val="2C3E5DE6"/>
    <w:rsid w:val="2C631111"/>
    <w:rsid w:val="2C7A7F48"/>
    <w:rsid w:val="2C862736"/>
    <w:rsid w:val="2D1E6A92"/>
    <w:rsid w:val="2D395ED2"/>
    <w:rsid w:val="2D733682"/>
    <w:rsid w:val="2DE41205"/>
    <w:rsid w:val="2E122E20"/>
    <w:rsid w:val="2E1D66F3"/>
    <w:rsid w:val="2E5C7766"/>
    <w:rsid w:val="2E894691"/>
    <w:rsid w:val="2EA01C32"/>
    <w:rsid w:val="2EA563BC"/>
    <w:rsid w:val="2F174AFB"/>
    <w:rsid w:val="2F2C5ACD"/>
    <w:rsid w:val="2F317342"/>
    <w:rsid w:val="2F45302F"/>
    <w:rsid w:val="2F8A52B5"/>
    <w:rsid w:val="2FE95CB1"/>
    <w:rsid w:val="30602948"/>
    <w:rsid w:val="30893524"/>
    <w:rsid w:val="30CA17EC"/>
    <w:rsid w:val="311A4B64"/>
    <w:rsid w:val="32227CAF"/>
    <w:rsid w:val="323B5B8A"/>
    <w:rsid w:val="32711C01"/>
    <w:rsid w:val="32752153"/>
    <w:rsid w:val="327C38DA"/>
    <w:rsid w:val="3286122A"/>
    <w:rsid w:val="32DA3ED7"/>
    <w:rsid w:val="32E16B65"/>
    <w:rsid w:val="3344028F"/>
    <w:rsid w:val="337E45B0"/>
    <w:rsid w:val="33F735BD"/>
    <w:rsid w:val="33FA6E10"/>
    <w:rsid w:val="34111F4C"/>
    <w:rsid w:val="34702BD8"/>
    <w:rsid w:val="347E0811"/>
    <w:rsid w:val="34EF0302"/>
    <w:rsid w:val="35126486"/>
    <w:rsid w:val="35927202"/>
    <w:rsid w:val="359F1449"/>
    <w:rsid w:val="35A75C34"/>
    <w:rsid w:val="35CC1D7E"/>
    <w:rsid w:val="36164045"/>
    <w:rsid w:val="364F26E8"/>
    <w:rsid w:val="37377F73"/>
    <w:rsid w:val="374F479C"/>
    <w:rsid w:val="375D3D3D"/>
    <w:rsid w:val="3784698C"/>
    <w:rsid w:val="37956529"/>
    <w:rsid w:val="37986A2F"/>
    <w:rsid w:val="37DD7044"/>
    <w:rsid w:val="3A6C38A9"/>
    <w:rsid w:val="3B327DE8"/>
    <w:rsid w:val="3B6F2417"/>
    <w:rsid w:val="3BBD78AA"/>
    <w:rsid w:val="3C3A33AC"/>
    <w:rsid w:val="3C446678"/>
    <w:rsid w:val="3D416BD6"/>
    <w:rsid w:val="3D5F78B1"/>
    <w:rsid w:val="3DAE23B6"/>
    <w:rsid w:val="3E4C4CF4"/>
    <w:rsid w:val="3EA109C7"/>
    <w:rsid w:val="3F1034BF"/>
    <w:rsid w:val="3F2D6CF7"/>
    <w:rsid w:val="3F534E29"/>
    <w:rsid w:val="3F7F5ECF"/>
    <w:rsid w:val="3FD718BC"/>
    <w:rsid w:val="40493989"/>
    <w:rsid w:val="405520C7"/>
    <w:rsid w:val="40A60B83"/>
    <w:rsid w:val="40B71987"/>
    <w:rsid w:val="40C65B7D"/>
    <w:rsid w:val="40DA73F3"/>
    <w:rsid w:val="415C0326"/>
    <w:rsid w:val="41A34B52"/>
    <w:rsid w:val="41BB54E2"/>
    <w:rsid w:val="420442E2"/>
    <w:rsid w:val="42E94710"/>
    <w:rsid w:val="44650DE0"/>
    <w:rsid w:val="4532244D"/>
    <w:rsid w:val="453F6F8A"/>
    <w:rsid w:val="4540175A"/>
    <w:rsid w:val="458C02B0"/>
    <w:rsid w:val="46570947"/>
    <w:rsid w:val="46932308"/>
    <w:rsid w:val="46E17531"/>
    <w:rsid w:val="4706610E"/>
    <w:rsid w:val="47967EEA"/>
    <w:rsid w:val="47AF2DF1"/>
    <w:rsid w:val="47B44AAC"/>
    <w:rsid w:val="47BF63C2"/>
    <w:rsid w:val="47C83435"/>
    <w:rsid w:val="47D8293C"/>
    <w:rsid w:val="47E87448"/>
    <w:rsid w:val="48097EFC"/>
    <w:rsid w:val="48130CF1"/>
    <w:rsid w:val="484D6111"/>
    <w:rsid w:val="48C5378A"/>
    <w:rsid w:val="48FB3FD7"/>
    <w:rsid w:val="49247685"/>
    <w:rsid w:val="494B2DA4"/>
    <w:rsid w:val="49697312"/>
    <w:rsid w:val="498E4DAD"/>
    <w:rsid w:val="4A243AB7"/>
    <w:rsid w:val="4A881BA9"/>
    <w:rsid w:val="4A8B39EA"/>
    <w:rsid w:val="4A943936"/>
    <w:rsid w:val="4AC66429"/>
    <w:rsid w:val="4AD05717"/>
    <w:rsid w:val="4AD97D08"/>
    <w:rsid w:val="4B200D2E"/>
    <w:rsid w:val="4B7329A5"/>
    <w:rsid w:val="4BBC7A8F"/>
    <w:rsid w:val="4C141C34"/>
    <w:rsid w:val="4C4D7EB8"/>
    <w:rsid w:val="4C5D52DC"/>
    <w:rsid w:val="4C7061C2"/>
    <w:rsid w:val="4C9025B4"/>
    <w:rsid w:val="4DA75A41"/>
    <w:rsid w:val="4DBB17D8"/>
    <w:rsid w:val="4DE17222"/>
    <w:rsid w:val="4E0075A6"/>
    <w:rsid w:val="4EC9095C"/>
    <w:rsid w:val="50407EEE"/>
    <w:rsid w:val="50793D03"/>
    <w:rsid w:val="507D4F1C"/>
    <w:rsid w:val="5092107D"/>
    <w:rsid w:val="521E3DAA"/>
    <w:rsid w:val="5271440F"/>
    <w:rsid w:val="52BD6403"/>
    <w:rsid w:val="5358276D"/>
    <w:rsid w:val="539C5E75"/>
    <w:rsid w:val="53B6435A"/>
    <w:rsid w:val="53F40446"/>
    <w:rsid w:val="542D1498"/>
    <w:rsid w:val="54A666C0"/>
    <w:rsid w:val="54B416CC"/>
    <w:rsid w:val="54F96D02"/>
    <w:rsid w:val="55474AD9"/>
    <w:rsid w:val="5576389A"/>
    <w:rsid w:val="55EB6B97"/>
    <w:rsid w:val="55EE7042"/>
    <w:rsid w:val="56042FC7"/>
    <w:rsid w:val="56D003BE"/>
    <w:rsid w:val="56E732EE"/>
    <w:rsid w:val="56ED61B3"/>
    <w:rsid w:val="570B795B"/>
    <w:rsid w:val="57272286"/>
    <w:rsid w:val="574A063D"/>
    <w:rsid w:val="578422A7"/>
    <w:rsid w:val="578F4C18"/>
    <w:rsid w:val="57BE7CB2"/>
    <w:rsid w:val="581C108F"/>
    <w:rsid w:val="58285031"/>
    <w:rsid w:val="5831341D"/>
    <w:rsid w:val="587F16AD"/>
    <w:rsid w:val="591858E6"/>
    <w:rsid w:val="59AC259E"/>
    <w:rsid w:val="59CA5FE0"/>
    <w:rsid w:val="59CF65C7"/>
    <w:rsid w:val="59FA5B9A"/>
    <w:rsid w:val="5A0E48A2"/>
    <w:rsid w:val="5ACA749C"/>
    <w:rsid w:val="5B08013F"/>
    <w:rsid w:val="5B220B91"/>
    <w:rsid w:val="5B3A5151"/>
    <w:rsid w:val="5BDC5F03"/>
    <w:rsid w:val="5C497FEA"/>
    <w:rsid w:val="5D090AE8"/>
    <w:rsid w:val="5D5256E9"/>
    <w:rsid w:val="5DF80321"/>
    <w:rsid w:val="5E030057"/>
    <w:rsid w:val="5F285311"/>
    <w:rsid w:val="5FF1461D"/>
    <w:rsid w:val="60245D7B"/>
    <w:rsid w:val="60475F7A"/>
    <w:rsid w:val="60A9314C"/>
    <w:rsid w:val="60F03A5E"/>
    <w:rsid w:val="613A79F8"/>
    <w:rsid w:val="61681EAF"/>
    <w:rsid w:val="61770997"/>
    <w:rsid w:val="61C0256B"/>
    <w:rsid w:val="61D844DE"/>
    <w:rsid w:val="62052DE7"/>
    <w:rsid w:val="620B02CC"/>
    <w:rsid w:val="62283E1A"/>
    <w:rsid w:val="62E7667B"/>
    <w:rsid w:val="62EC7AE4"/>
    <w:rsid w:val="63036D17"/>
    <w:rsid w:val="631C1D07"/>
    <w:rsid w:val="64670D77"/>
    <w:rsid w:val="64AE1FCA"/>
    <w:rsid w:val="656519A7"/>
    <w:rsid w:val="65FE4358"/>
    <w:rsid w:val="66493FA7"/>
    <w:rsid w:val="665D2E82"/>
    <w:rsid w:val="66895F34"/>
    <w:rsid w:val="678043B4"/>
    <w:rsid w:val="67846505"/>
    <w:rsid w:val="67B316E1"/>
    <w:rsid w:val="68925A02"/>
    <w:rsid w:val="689B00A4"/>
    <w:rsid w:val="68AB2C92"/>
    <w:rsid w:val="68AD7E22"/>
    <w:rsid w:val="68C12231"/>
    <w:rsid w:val="690916DD"/>
    <w:rsid w:val="693D6664"/>
    <w:rsid w:val="69A34C8B"/>
    <w:rsid w:val="69B81E96"/>
    <w:rsid w:val="69B929D5"/>
    <w:rsid w:val="69BA2370"/>
    <w:rsid w:val="69C97DF6"/>
    <w:rsid w:val="69EA7C51"/>
    <w:rsid w:val="6A634419"/>
    <w:rsid w:val="6A634DB0"/>
    <w:rsid w:val="6A9C2233"/>
    <w:rsid w:val="6AC83030"/>
    <w:rsid w:val="6AEB6BA2"/>
    <w:rsid w:val="6AEF4950"/>
    <w:rsid w:val="6AF06CEB"/>
    <w:rsid w:val="6B9E4AC7"/>
    <w:rsid w:val="6BE302B4"/>
    <w:rsid w:val="6C2B456C"/>
    <w:rsid w:val="6CFA324E"/>
    <w:rsid w:val="6D09176D"/>
    <w:rsid w:val="6D0C277A"/>
    <w:rsid w:val="6D720F1A"/>
    <w:rsid w:val="6DF75633"/>
    <w:rsid w:val="6E183261"/>
    <w:rsid w:val="6E293064"/>
    <w:rsid w:val="6E641D84"/>
    <w:rsid w:val="6E765611"/>
    <w:rsid w:val="6F152B8D"/>
    <w:rsid w:val="6F787A91"/>
    <w:rsid w:val="6F89139E"/>
    <w:rsid w:val="6F8B14B1"/>
    <w:rsid w:val="6FFD2B41"/>
    <w:rsid w:val="70002CE1"/>
    <w:rsid w:val="705D3C97"/>
    <w:rsid w:val="706A3691"/>
    <w:rsid w:val="707223A4"/>
    <w:rsid w:val="709037FE"/>
    <w:rsid w:val="70B40132"/>
    <w:rsid w:val="70FD6067"/>
    <w:rsid w:val="710F533B"/>
    <w:rsid w:val="714C633E"/>
    <w:rsid w:val="71600B45"/>
    <w:rsid w:val="71A725C2"/>
    <w:rsid w:val="72756C0A"/>
    <w:rsid w:val="73084304"/>
    <w:rsid w:val="731B13BF"/>
    <w:rsid w:val="733500D9"/>
    <w:rsid w:val="733D5A0A"/>
    <w:rsid w:val="735342C7"/>
    <w:rsid w:val="73D945DB"/>
    <w:rsid w:val="73DC2B79"/>
    <w:rsid w:val="74324451"/>
    <w:rsid w:val="74474557"/>
    <w:rsid w:val="74723C7C"/>
    <w:rsid w:val="74785BB6"/>
    <w:rsid w:val="74FC3F39"/>
    <w:rsid w:val="74FF3BFC"/>
    <w:rsid w:val="75AE190F"/>
    <w:rsid w:val="75CC461B"/>
    <w:rsid w:val="760C46DD"/>
    <w:rsid w:val="766D79C1"/>
    <w:rsid w:val="76981478"/>
    <w:rsid w:val="76CF071F"/>
    <w:rsid w:val="773F0F66"/>
    <w:rsid w:val="778A33B3"/>
    <w:rsid w:val="77EB56A6"/>
    <w:rsid w:val="78AB51A1"/>
    <w:rsid w:val="78BB7242"/>
    <w:rsid w:val="78EE497A"/>
    <w:rsid w:val="78F3484C"/>
    <w:rsid w:val="78F9760B"/>
    <w:rsid w:val="79294979"/>
    <w:rsid w:val="794D66C2"/>
    <w:rsid w:val="7A0B78F7"/>
    <w:rsid w:val="7A387A8A"/>
    <w:rsid w:val="7A7B72B9"/>
    <w:rsid w:val="7B3C0CC7"/>
    <w:rsid w:val="7B8A75A1"/>
    <w:rsid w:val="7D2C3E10"/>
    <w:rsid w:val="7D2F7BC6"/>
    <w:rsid w:val="7D7C1216"/>
    <w:rsid w:val="7DBD4222"/>
    <w:rsid w:val="7DF228EB"/>
    <w:rsid w:val="7E343105"/>
    <w:rsid w:val="7F1772DE"/>
    <w:rsid w:val="7F55591C"/>
    <w:rsid w:val="7F844D96"/>
    <w:rsid w:val="7F8A49DD"/>
    <w:rsid w:val="7FC50C06"/>
    <w:rsid w:val="7FE6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ind w:firstLine="420" w:firstLineChars="200"/>
    </w:pPr>
  </w:style>
  <w:style w:type="paragraph" w:styleId="7">
    <w:name w:val="annotation text"/>
    <w:basedOn w:val="1"/>
    <w:link w:val="46"/>
    <w:qFormat/>
    <w:uiPriority w:val="0"/>
    <w:pPr>
      <w:jc w:val="left"/>
    </w:pPr>
    <w:rPr>
      <w:sz w:val="18"/>
      <w:szCs w:val="20"/>
    </w:rPr>
  </w:style>
  <w:style w:type="paragraph" w:styleId="8">
    <w:name w:val="Body Text"/>
    <w:basedOn w:val="1"/>
    <w:next w:val="1"/>
    <w:qFormat/>
    <w:uiPriority w:val="0"/>
    <w:pPr>
      <w:spacing w:after="120"/>
    </w:pPr>
  </w:style>
  <w:style w:type="paragraph" w:styleId="9">
    <w:name w:val="Body Text Indent"/>
    <w:basedOn w:val="1"/>
    <w:link w:val="32"/>
    <w:qFormat/>
    <w:uiPriority w:val="0"/>
    <w:pPr>
      <w:ind w:firstLine="630"/>
    </w:pPr>
    <w:rPr>
      <w:sz w:val="32"/>
      <w:szCs w:val="20"/>
    </w:rPr>
  </w:style>
  <w:style w:type="paragraph" w:styleId="10">
    <w:name w:val="Plain Text"/>
    <w:basedOn w:val="1"/>
    <w:link w:val="36"/>
    <w:qFormat/>
    <w:uiPriority w:val="0"/>
    <w:pPr>
      <w:autoSpaceDE w:val="0"/>
      <w:autoSpaceDN w:val="0"/>
      <w:adjustRightInd w:val="0"/>
    </w:pPr>
    <w:rPr>
      <w:rFonts w:ascii="宋体" w:hAnsi="Tms Rmn"/>
      <w:kern w:val="0"/>
      <w:szCs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2"/>
    <w:qFormat/>
    <w:uiPriority w:val="0"/>
    <w:pPr>
      <w:tabs>
        <w:tab w:val="center" w:pos="4153"/>
        <w:tab w:val="right" w:pos="8306"/>
      </w:tabs>
      <w:snapToGrid w:val="0"/>
      <w:jc w:val="left"/>
    </w:pPr>
    <w:rPr>
      <w:sz w:val="18"/>
      <w:szCs w:val="20"/>
    </w:rPr>
  </w:style>
  <w:style w:type="paragraph" w:styleId="14">
    <w:name w:val="header"/>
    <w:basedOn w:val="1"/>
    <w:link w:val="40"/>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0"/>
    <w:pPr>
      <w:tabs>
        <w:tab w:val="right" w:leader="dot" w:pos="9345"/>
      </w:tabs>
      <w:spacing w:line="600" w:lineRule="exact"/>
      <w:ind w:right="-105" w:rightChars="-50"/>
      <w:jc w:val="left"/>
    </w:pPr>
    <w:rPr>
      <w:rFonts w:ascii="Times New Roman" w:hAnsi="Times New Roman"/>
      <w:bCs/>
      <w:caps/>
      <w:szCs w:val="20"/>
    </w:rPr>
  </w:style>
  <w:style w:type="paragraph" w:styleId="16">
    <w:name w:val="Subtitle"/>
    <w:basedOn w:val="1"/>
    <w:next w:val="1"/>
    <w:qFormat/>
    <w:uiPriority w:val="0"/>
    <w:pPr>
      <w:widowControl/>
      <w:spacing w:before="240" w:after="60" w:line="312" w:lineRule="auto"/>
      <w:jc w:val="center"/>
      <w:outlineLvl w:val="1"/>
    </w:pPr>
    <w:rPr>
      <w:rFonts w:hint="eastAsia" w:ascii="Calibri Light" w:hAnsi="Calibri Light" w:eastAsia="宋体"/>
      <w:b/>
      <w:kern w:val="28"/>
      <w:sz w:val="32"/>
    </w:rPr>
  </w:style>
  <w:style w:type="paragraph" w:styleId="17">
    <w:name w:val="Body Text Indent 3"/>
    <w:basedOn w:val="1"/>
    <w:link w:val="38"/>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47"/>
    <w:qFormat/>
    <w:uiPriority w:val="0"/>
    <w:rPr>
      <w:b/>
      <w:bCs/>
      <w:sz w:val="21"/>
      <w:szCs w:val="24"/>
    </w:rPr>
  </w:style>
  <w:style w:type="paragraph" w:styleId="21">
    <w:name w:val="Body Text First Indent"/>
    <w:basedOn w:val="8"/>
    <w:unhideWhenUsed/>
    <w:qFormat/>
    <w:uiPriority w:val="99"/>
    <w:pPr>
      <w:ind w:firstLine="420" w:firstLineChars="100"/>
    </w:pPr>
    <w:rPr>
      <w:color w:val="FF000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paragraph" w:customStyle="1" w:styleId="29">
    <w:name w:val="正文2"/>
    <w:basedOn w:val="1"/>
    <w:next w:val="1"/>
    <w:qFormat/>
    <w:uiPriority w:val="0"/>
    <w:rPr>
      <w:rFonts w:ascii="仿宋_GB2312" w:hAnsi="Calibri" w:eastAsia="仿宋_GB2312" w:cs="Times New Roman"/>
      <w:sz w:val="32"/>
      <w:szCs w:val="20"/>
    </w:rPr>
  </w:style>
  <w:style w:type="paragraph" w:customStyle="1" w:styleId="30">
    <w:name w:val="_Style 3"/>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31">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32">
    <w:name w:val="正文文本缩进 Char"/>
    <w:link w:val="9"/>
    <w:qFormat/>
    <w:uiPriority w:val="0"/>
    <w:rPr>
      <w:rFonts w:eastAsia="宋体"/>
      <w:kern w:val="2"/>
      <w:sz w:val="32"/>
      <w:lang w:val="en-US" w:eastAsia="zh-CN" w:bidi="ar-SA"/>
    </w:rPr>
  </w:style>
  <w:style w:type="character" w:customStyle="1" w:styleId="33">
    <w:name w:val="正文缩进 Char1"/>
    <w:qFormat/>
    <w:uiPriority w:val="0"/>
    <w:rPr>
      <w:kern w:val="2"/>
      <w:sz w:val="21"/>
      <w:szCs w:val="24"/>
    </w:rPr>
  </w:style>
  <w:style w:type="character" w:customStyle="1" w:styleId="34">
    <w:name w:val="（符号）邀请函中一、"/>
    <w:qFormat/>
    <w:uiPriority w:val="0"/>
    <w:rPr>
      <w:rFonts w:ascii="黑体" w:hAnsi="黑体" w:eastAsia="黑体"/>
      <w:b/>
      <w:bCs/>
      <w:sz w:val="24"/>
    </w:rPr>
  </w:style>
  <w:style w:type="character" w:customStyle="1" w:styleId="35">
    <w:name w:val="font41"/>
    <w:qFormat/>
    <w:uiPriority w:val="0"/>
    <w:rPr>
      <w:rFonts w:hint="eastAsia" w:ascii="宋体" w:hAnsi="宋体" w:eastAsia="宋体" w:cs="宋体"/>
      <w:color w:val="000000"/>
      <w:sz w:val="21"/>
      <w:szCs w:val="21"/>
      <w:u w:val="none"/>
    </w:rPr>
  </w:style>
  <w:style w:type="character" w:customStyle="1" w:styleId="36">
    <w:name w:val="纯文本 Char"/>
    <w:link w:val="10"/>
    <w:unhideWhenUsed/>
    <w:qFormat/>
    <w:uiPriority w:val="0"/>
    <w:rPr>
      <w:rFonts w:ascii="宋体" w:hAnsi="Tms Rmn" w:eastAsia="宋体"/>
      <w:sz w:val="21"/>
      <w:lang w:val="en-US" w:eastAsia="zh-CN" w:bidi="ar-SA"/>
    </w:rPr>
  </w:style>
  <w:style w:type="character" w:customStyle="1" w:styleId="37">
    <w:name w:val="批注文字 Char1"/>
    <w:qFormat/>
    <w:uiPriority w:val="0"/>
    <w:rPr>
      <w:kern w:val="2"/>
      <w:sz w:val="18"/>
      <w:lang w:bidi="ar-SA"/>
    </w:rPr>
  </w:style>
  <w:style w:type="character" w:customStyle="1" w:styleId="38">
    <w:name w:val="正文文本缩进 3 Char"/>
    <w:link w:val="17"/>
    <w:qFormat/>
    <w:uiPriority w:val="0"/>
    <w:rPr>
      <w:kern w:val="2"/>
      <w:sz w:val="16"/>
      <w:szCs w:val="16"/>
    </w:rPr>
  </w:style>
  <w:style w:type="character" w:customStyle="1" w:styleId="39">
    <w:name w:val="标题 2 Char"/>
    <w:link w:val="3"/>
    <w:qFormat/>
    <w:uiPriority w:val="0"/>
    <w:rPr>
      <w:rFonts w:ascii="Arial" w:hAnsi="Arial" w:eastAsia="黑体"/>
      <w:b/>
      <w:bCs/>
      <w:kern w:val="2"/>
      <w:sz w:val="32"/>
      <w:szCs w:val="32"/>
    </w:rPr>
  </w:style>
  <w:style w:type="character" w:customStyle="1" w:styleId="40">
    <w:name w:val="页眉 Char"/>
    <w:link w:val="14"/>
    <w:qFormat/>
    <w:uiPriority w:val="0"/>
    <w:rPr>
      <w:rFonts w:eastAsia="宋体"/>
      <w:kern w:val="2"/>
      <w:sz w:val="18"/>
      <w:lang w:val="en-US" w:eastAsia="zh-CN" w:bidi="ar-SA"/>
    </w:rPr>
  </w:style>
  <w:style w:type="character" w:customStyle="1" w:styleId="41">
    <w:name w:val="正文缩进 Char"/>
    <w:link w:val="5"/>
    <w:qFormat/>
    <w:uiPriority w:val="0"/>
    <w:rPr>
      <w:rFonts w:eastAsia="宋体"/>
      <w:kern w:val="2"/>
      <w:sz w:val="21"/>
      <w:szCs w:val="24"/>
      <w:lang w:val="en-US" w:eastAsia="zh-CN" w:bidi="ar-SA"/>
    </w:rPr>
  </w:style>
  <w:style w:type="character" w:customStyle="1" w:styleId="42">
    <w:name w:val="页脚 Char"/>
    <w:link w:val="13"/>
    <w:qFormat/>
    <w:uiPriority w:val="0"/>
    <w:rPr>
      <w:rFonts w:eastAsia="宋体"/>
      <w:kern w:val="2"/>
      <w:sz w:val="18"/>
      <w:lang w:val="en-US" w:eastAsia="zh-CN" w:bidi="ar-SA"/>
    </w:rPr>
  </w:style>
  <w:style w:type="character" w:customStyle="1" w:styleId="43">
    <w:name w:val="Char Char9"/>
    <w:qFormat/>
    <w:uiPriority w:val="0"/>
    <w:rPr>
      <w:kern w:val="2"/>
      <w:sz w:val="21"/>
    </w:rPr>
  </w:style>
  <w:style w:type="character" w:customStyle="1" w:styleId="44">
    <w:name w:val="GW-正文 Char"/>
    <w:link w:val="45"/>
    <w:qFormat/>
    <w:uiPriority w:val="0"/>
    <w:rPr>
      <w:rFonts w:eastAsia="仿宋_GB2312"/>
      <w:kern w:val="2"/>
      <w:sz w:val="24"/>
      <w:szCs w:val="24"/>
      <w:lang w:val="en-US" w:eastAsia="zh-CN" w:bidi="ar-SA"/>
    </w:rPr>
  </w:style>
  <w:style w:type="paragraph" w:customStyle="1" w:styleId="45">
    <w:name w:val="GW-正文"/>
    <w:basedOn w:val="1"/>
    <w:link w:val="44"/>
    <w:qFormat/>
    <w:uiPriority w:val="0"/>
    <w:pPr>
      <w:spacing w:line="360" w:lineRule="auto"/>
      <w:ind w:firstLine="200" w:firstLineChars="200"/>
    </w:pPr>
    <w:rPr>
      <w:rFonts w:eastAsia="仿宋_GB2312"/>
      <w:sz w:val="24"/>
    </w:rPr>
  </w:style>
  <w:style w:type="character" w:customStyle="1" w:styleId="46">
    <w:name w:val="批注文字 Char"/>
    <w:link w:val="7"/>
    <w:qFormat/>
    <w:uiPriority w:val="0"/>
    <w:rPr>
      <w:kern w:val="2"/>
      <w:sz w:val="18"/>
      <w:lang w:bidi="ar-SA"/>
    </w:rPr>
  </w:style>
  <w:style w:type="character" w:customStyle="1" w:styleId="47">
    <w:name w:val="批注主题 Char"/>
    <w:link w:val="20"/>
    <w:qFormat/>
    <w:uiPriority w:val="0"/>
    <w:rPr>
      <w:b/>
      <w:bCs/>
      <w:kern w:val="2"/>
      <w:sz w:val="21"/>
      <w:szCs w:val="24"/>
      <w:lang w:bidi="ar-SA"/>
    </w:rPr>
  </w:style>
  <w:style w:type="character" w:customStyle="1" w:styleId="48">
    <w:name w:val="列出段落 字符"/>
    <w:link w:val="49"/>
    <w:qFormat/>
    <w:uiPriority w:val="0"/>
    <w:rPr>
      <w:rFonts w:eastAsia="宋体"/>
      <w:kern w:val="2"/>
      <w:sz w:val="21"/>
      <w:szCs w:val="24"/>
      <w:lang w:val="en-US" w:eastAsia="zh-CN" w:bidi="ar-SA"/>
    </w:rPr>
  </w:style>
  <w:style w:type="paragraph" w:customStyle="1" w:styleId="49">
    <w:name w:val="列出段落1"/>
    <w:basedOn w:val="1"/>
    <w:link w:val="48"/>
    <w:qFormat/>
    <w:uiPriority w:val="0"/>
    <w:pPr>
      <w:ind w:firstLine="420" w:firstLineChars="200"/>
    </w:pPr>
  </w:style>
  <w:style w:type="paragraph" w:customStyle="1" w:styleId="50">
    <w:name w:val="样式 首行缩进:  2 字符"/>
    <w:basedOn w:val="1"/>
    <w:qFormat/>
    <w:uiPriority w:val="0"/>
    <w:pPr>
      <w:spacing w:line="400" w:lineRule="exact"/>
      <w:ind w:firstLine="200" w:firstLineChars="200"/>
    </w:pPr>
    <w:rPr>
      <w:rFonts w:cs="宋体"/>
      <w:sz w:val="24"/>
    </w:rPr>
  </w:style>
  <w:style w:type="paragraph" w:customStyle="1" w:styleId="51">
    <w:name w:val="表格"/>
    <w:basedOn w:val="1"/>
    <w:qFormat/>
    <w:uiPriority w:val="0"/>
    <w:pPr>
      <w:spacing w:line="400" w:lineRule="exact"/>
    </w:pPr>
    <w:rPr>
      <w:sz w:val="24"/>
    </w:rPr>
  </w:style>
  <w:style w:type="paragraph" w:customStyle="1" w:styleId="52">
    <w:name w:val="目录 11"/>
    <w:basedOn w:val="1"/>
    <w:next w:val="1"/>
    <w:qFormat/>
    <w:uiPriority w:val="39"/>
  </w:style>
  <w:style w:type="paragraph" w:customStyle="1" w:styleId="53">
    <w:name w:val="列表段落1"/>
    <w:basedOn w:val="1"/>
    <w:qFormat/>
    <w:uiPriority w:val="34"/>
    <w:pPr>
      <w:ind w:firstLine="420" w:firstLineChars="200"/>
    </w:pPr>
  </w:style>
  <w:style w:type="paragraph" w:customStyle="1" w:styleId="54">
    <w:name w:val="Char Char Char Char Char Char Char Char Char Char Char Char Char Char1 Char Char Char Char"/>
    <w:basedOn w:val="1"/>
    <w:qFormat/>
    <w:uiPriority w:val="0"/>
    <w:rPr>
      <w:szCs w:val="21"/>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_Style 2"/>
    <w:basedOn w:val="1"/>
    <w:qFormat/>
    <w:uiPriority w:val="0"/>
    <w:pPr>
      <w:ind w:firstLine="420" w:firstLineChars="200"/>
    </w:pPr>
    <w:rPr>
      <w:sz w:val="18"/>
      <w:szCs w:val="18"/>
    </w:r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_Style 1"/>
    <w:basedOn w:val="1"/>
    <w:qFormat/>
    <w:uiPriority w:val="0"/>
    <w:pPr>
      <w:ind w:firstLine="420" w:firstLineChars="200"/>
    </w:pPr>
    <w:rPr>
      <w:rFonts w:ascii="Calibri" w:hAnsi="Calibri"/>
      <w:szCs w:val="22"/>
    </w:rPr>
  </w:style>
  <w:style w:type="paragraph" w:customStyle="1" w:styleId="6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1">
    <w:name w:val="font01"/>
    <w:basedOn w:val="24"/>
    <w:qFormat/>
    <w:uiPriority w:val="0"/>
    <w:rPr>
      <w:rFonts w:hint="eastAsia" w:ascii="宋体" w:hAnsi="宋体" w:eastAsia="宋体" w:cs="宋体"/>
      <w:color w:val="000000"/>
      <w:sz w:val="24"/>
      <w:szCs w:val="24"/>
      <w:u w:val="none"/>
    </w:rPr>
  </w:style>
  <w:style w:type="character" w:customStyle="1" w:styleId="62">
    <w:name w:val="标题 1 Char"/>
    <w:link w:val="2"/>
    <w:qFormat/>
    <w:uiPriority w:val="0"/>
    <w:rPr>
      <w:rFonts w:ascii="Times New Roman" w:hAnsi="Times New Roman" w:eastAsia="宋体"/>
      <w:b/>
      <w:bCs/>
      <w:kern w:val="44"/>
      <w:sz w:val="32"/>
      <w:szCs w:val="44"/>
    </w:rPr>
  </w:style>
  <w:style w:type="character" w:customStyle="1" w:styleId="63">
    <w:name w:val="NormalCharacter"/>
    <w:semiHidden/>
    <w:qFormat/>
    <w:uiPriority w:val="0"/>
  </w:style>
  <w:style w:type="paragraph" w:customStyle="1" w:styleId="6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65">
    <w:name w:val="Table Paragraph"/>
    <w:basedOn w:val="1"/>
    <w:qFormat/>
    <w:uiPriority w:val="1"/>
  </w:style>
  <w:style w:type="paragraph" w:customStyle="1" w:styleId="6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60</Pages>
  <Words>5259</Words>
  <Characters>5717</Characters>
  <Lines>219</Lines>
  <Paragraphs>61</Paragraphs>
  <TotalTime>224</TotalTime>
  <ScaleCrop>false</ScaleCrop>
  <LinksUpToDate>false</LinksUpToDate>
  <CharactersWithSpaces>5810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2018-09-21T01:35:00Z</dcterms:created>
  <dc:creator>吴正新</dc:creator>
  <cp:lastModifiedBy>ss</cp:lastModifiedBy>
  <cp:lastPrinted>2025-02-07T03:37:00Z</cp:lastPrinted>
  <dcterms:modified xsi:type="dcterms:W3CDTF">2025-02-08T06:32:30Z</dcterms:modified>
  <dc:title>招标编号：xx政采招[xxxx] xxx号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48D27062DE894958A6F36CA3F48B0916</vt:lpwstr>
  </property>
  <property fmtid="{D5CDD505-2E9C-101B-9397-08002B2CF9AE}" pid="4" name="KSOTemplateDocerSaveRecord">
    <vt:lpwstr>eyJoZGlkIjoiMzEwNTM5NzYwMDRjMzkwZTVkZjY2ODkwMGIxNGU0OTUifQ==</vt:lpwstr>
  </property>
</Properties>
</file>